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5047" w14:textId="038B9BE5" w:rsidR="00A44795" w:rsidRDefault="00A44795" w:rsidP="00A44795">
      <w:pPr>
        <w:jc w:val="center"/>
        <w:rPr>
          <w:rFonts w:cs="Calibri"/>
          <w:b/>
          <w:sz w:val="28"/>
        </w:rPr>
      </w:pPr>
      <w:r w:rsidRPr="005B2331">
        <w:rPr>
          <w:rFonts w:cs="Calibri"/>
          <w:b/>
          <w:noProof/>
          <w:sz w:val="28"/>
          <w:lang w:val="en-US" w:eastAsia="en-US"/>
        </w:rPr>
        <w:drawing>
          <wp:inline distT="0" distB="0" distL="0" distR="0" wp14:anchorId="69968ED4" wp14:editId="497E0B7D">
            <wp:extent cx="6644640" cy="99822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E97E6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4B161FCE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2ACF0617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63297B8B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49755F82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36DDDA2A" w14:textId="77777777" w:rsidR="00A44795" w:rsidRPr="00BF4F7B" w:rsidRDefault="00A44795" w:rsidP="00A44795">
      <w:pPr>
        <w:jc w:val="center"/>
        <w:rPr>
          <w:rFonts w:cs="Calibri"/>
          <w:b/>
          <w:sz w:val="28"/>
        </w:rPr>
      </w:pPr>
    </w:p>
    <w:p w14:paraId="78075239" w14:textId="77777777" w:rsidR="00A44795" w:rsidRDefault="00A44795" w:rsidP="00A44795">
      <w:pPr>
        <w:widowControl w:val="0"/>
        <w:jc w:val="center"/>
        <w:rPr>
          <w:rFonts w:cs="Calibri"/>
          <w:caps/>
          <w:sz w:val="28"/>
        </w:rPr>
      </w:pPr>
      <w:r w:rsidRPr="00BF4F7B">
        <w:rPr>
          <w:rFonts w:cs="Calibri"/>
          <w:caps/>
          <w:sz w:val="28"/>
        </w:rPr>
        <w:t>MARCHES PUBLICS</w:t>
      </w:r>
    </w:p>
    <w:p w14:paraId="4BEA5429" w14:textId="77777777" w:rsidR="00A44795" w:rsidRPr="00BF4F7B" w:rsidRDefault="00A44795" w:rsidP="00A44795">
      <w:pPr>
        <w:widowControl w:val="0"/>
        <w:jc w:val="center"/>
        <w:rPr>
          <w:rFonts w:cs="Calibri"/>
          <w:caps/>
          <w:sz w:val="28"/>
        </w:rPr>
      </w:pPr>
    </w:p>
    <w:p w14:paraId="77AB81AE" w14:textId="06A3379A" w:rsidR="00A44795" w:rsidRDefault="00A44795" w:rsidP="00A44795">
      <w:pPr>
        <w:widowControl w:val="0"/>
        <w:jc w:val="center"/>
        <w:rPr>
          <w:rFonts w:eastAsia="Calibri"/>
          <w:b/>
          <w:caps/>
          <w:color w:val="00B0F0"/>
          <w:spacing w:val="10"/>
          <w:kern w:val="28"/>
          <w:sz w:val="28"/>
          <w:szCs w:val="28"/>
          <w:lang w:eastAsia="en-US"/>
        </w:rPr>
      </w:pPr>
      <w:r>
        <w:rPr>
          <w:rFonts w:eastAsia="Calibri"/>
          <w:b/>
          <w:caps/>
          <w:color w:val="00B0F0"/>
          <w:spacing w:val="10"/>
          <w:kern w:val="28"/>
          <w:sz w:val="28"/>
          <w:szCs w:val="28"/>
          <w:lang w:eastAsia="en-US"/>
        </w:rPr>
        <w:t>mémoire technique</w:t>
      </w:r>
    </w:p>
    <w:p w14:paraId="099AF9C8" w14:textId="77777777" w:rsidR="00A44795" w:rsidRPr="00603A60" w:rsidRDefault="00A44795" w:rsidP="00A44795">
      <w:pPr>
        <w:widowControl w:val="0"/>
        <w:jc w:val="center"/>
        <w:rPr>
          <w:rFonts w:eastAsia="Calibri"/>
          <w:b/>
          <w:caps/>
          <w:color w:val="00B0F0"/>
          <w:spacing w:val="10"/>
          <w:kern w:val="28"/>
          <w:sz w:val="28"/>
          <w:szCs w:val="28"/>
          <w:lang w:eastAsia="en-US"/>
        </w:rPr>
      </w:pPr>
    </w:p>
    <w:p w14:paraId="196D3404" w14:textId="77777777" w:rsidR="00A44795" w:rsidRPr="00BF4F7B" w:rsidRDefault="00A44795" w:rsidP="00A44795">
      <w:pPr>
        <w:jc w:val="center"/>
        <w:rPr>
          <w:rFonts w:cs="Calibri"/>
          <w:b/>
          <w:sz w:val="24"/>
        </w:rPr>
      </w:pPr>
      <w:r w:rsidRPr="00BF4F7B">
        <w:rPr>
          <w:rFonts w:cs="Calibri"/>
          <w:b/>
          <w:noProof/>
          <w:sz w:val="24"/>
        </w:rPr>
        <w:t xml:space="preserve">MARCHES PUBLICS </w:t>
      </w:r>
      <w:r w:rsidRPr="00AA563C">
        <w:rPr>
          <w:rFonts w:cs="Calibri"/>
          <w:b/>
          <w:noProof/>
          <w:sz w:val="24"/>
        </w:rPr>
        <w:t xml:space="preserve">DE FOURNITURES </w:t>
      </w:r>
    </w:p>
    <w:p w14:paraId="0D714670" w14:textId="77777777" w:rsidR="00A44795" w:rsidRPr="00BF4F7B" w:rsidRDefault="00A44795" w:rsidP="00A44795">
      <w:pPr>
        <w:jc w:val="center"/>
        <w:rPr>
          <w:rFonts w:cs="Calibri"/>
          <w:b/>
          <w:sz w:val="28"/>
        </w:rPr>
      </w:pPr>
    </w:p>
    <w:p w14:paraId="4DA7E704" w14:textId="53C43203" w:rsidR="00A44795" w:rsidRPr="00B87A72" w:rsidRDefault="00D55C4B" w:rsidP="00A4479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B0F0"/>
          <w:sz w:val="26"/>
        </w:rPr>
      </w:pPr>
      <w:r>
        <w:rPr>
          <w:rFonts w:cs="Calibri"/>
          <w:b/>
          <w:caps/>
          <w:noProof/>
          <w:color w:val="00B0F0"/>
          <w:sz w:val="26"/>
        </w:rPr>
        <w:t>AQUISITION</w:t>
      </w:r>
      <w:r w:rsidR="00FA04AC">
        <w:rPr>
          <w:rFonts w:cs="Calibri"/>
          <w:b/>
          <w:caps/>
          <w:noProof/>
          <w:color w:val="00B0F0"/>
          <w:sz w:val="26"/>
        </w:rPr>
        <w:t xml:space="preserve"> </w:t>
      </w:r>
      <w:r w:rsidR="000516E1">
        <w:rPr>
          <w:rFonts w:cs="Calibri"/>
          <w:b/>
          <w:caps/>
          <w:noProof/>
          <w:color w:val="00B0F0"/>
          <w:sz w:val="26"/>
        </w:rPr>
        <w:t>DE CYTOMETRES DE FLUX, REACTIFS, Consommables, accessoires et maintenance</w:t>
      </w:r>
    </w:p>
    <w:p w14:paraId="2FE6AE28" w14:textId="3E98C39F" w:rsidR="00B379CA" w:rsidRDefault="00B379CA"/>
    <w:p w14:paraId="059578D7" w14:textId="52498DEC" w:rsidR="00A44795" w:rsidRDefault="00A44795"/>
    <w:p w14:paraId="6AD66AF4" w14:textId="3ED1F2C6" w:rsidR="00A44795" w:rsidRDefault="00A44795"/>
    <w:p w14:paraId="175B7192" w14:textId="2A20A723" w:rsidR="00A44795" w:rsidRDefault="00A44795"/>
    <w:p w14:paraId="41B8ACED" w14:textId="64CED750" w:rsidR="00A44795" w:rsidRDefault="00A44795"/>
    <w:p w14:paraId="6E270262" w14:textId="69936023" w:rsidR="00A44795" w:rsidRDefault="00A44795"/>
    <w:p w14:paraId="55DC0657" w14:textId="74EC1975" w:rsidR="00A44795" w:rsidRDefault="00A44795"/>
    <w:p w14:paraId="2099A640" w14:textId="418BABC2" w:rsidR="00A44795" w:rsidRDefault="00A44795"/>
    <w:p w14:paraId="26490865" w14:textId="5AD3D924" w:rsidR="00A44795" w:rsidRDefault="00A44795"/>
    <w:p w14:paraId="0C3E1ABD" w14:textId="45948446" w:rsidR="00A44795" w:rsidRDefault="00A44795"/>
    <w:p w14:paraId="6DA3536F" w14:textId="2DC4B9A5" w:rsidR="00A44795" w:rsidRDefault="00A44795"/>
    <w:p w14:paraId="6F12AD34" w14:textId="3A8BA1EC" w:rsidR="00A44795" w:rsidRDefault="00A44795"/>
    <w:p w14:paraId="7C77D951" w14:textId="77777777" w:rsidR="00592199" w:rsidRDefault="00592199" w:rsidP="00592199"/>
    <w:p w14:paraId="63804925" w14:textId="77777777" w:rsidR="00592199" w:rsidRDefault="00592199" w:rsidP="00592199"/>
    <w:p w14:paraId="06B9A6C6" w14:textId="77777777" w:rsidR="00592199" w:rsidRDefault="00592199" w:rsidP="00592199"/>
    <w:p w14:paraId="5E3F6369" w14:textId="77777777" w:rsidR="00592199" w:rsidRDefault="00592199" w:rsidP="00592199"/>
    <w:p w14:paraId="1E8D5252" w14:textId="77777777" w:rsidR="00592199" w:rsidRDefault="00592199" w:rsidP="00592199"/>
    <w:p w14:paraId="4EF847D6" w14:textId="77777777" w:rsidR="00592199" w:rsidRDefault="00592199" w:rsidP="00592199"/>
    <w:p w14:paraId="7E562E49" w14:textId="77777777" w:rsidR="00592199" w:rsidRDefault="00592199" w:rsidP="00592199"/>
    <w:p w14:paraId="36126677" w14:textId="77777777" w:rsidR="00592199" w:rsidRDefault="00592199" w:rsidP="00592199"/>
    <w:p w14:paraId="698F17D8" w14:textId="77777777" w:rsidR="00592199" w:rsidRDefault="00592199" w:rsidP="00592199"/>
    <w:p w14:paraId="0ACEAB28" w14:textId="77777777" w:rsidR="00592199" w:rsidRDefault="00592199" w:rsidP="00592199"/>
    <w:p w14:paraId="6208E53A" w14:textId="77777777" w:rsidR="00592199" w:rsidRDefault="00592199" w:rsidP="00592199"/>
    <w:p w14:paraId="12580B31" w14:textId="77777777" w:rsidR="00592199" w:rsidRDefault="00592199" w:rsidP="00592199"/>
    <w:p w14:paraId="032F144E" w14:textId="77777777" w:rsidR="00592199" w:rsidRDefault="00592199" w:rsidP="00592199"/>
    <w:p w14:paraId="22559502" w14:textId="77777777" w:rsidR="00592199" w:rsidRDefault="00592199" w:rsidP="00592199"/>
    <w:p w14:paraId="702CDAF1" w14:textId="77777777" w:rsidR="00592199" w:rsidRDefault="00592199" w:rsidP="00592199"/>
    <w:p w14:paraId="14C956A8" w14:textId="77777777" w:rsidR="00592199" w:rsidRDefault="00592199" w:rsidP="00592199"/>
    <w:p w14:paraId="54EE4548" w14:textId="77777777" w:rsidR="00592199" w:rsidRPr="00531C05" w:rsidRDefault="00592199" w:rsidP="00592199"/>
    <w:p w14:paraId="1CD8FE07" w14:textId="77777777" w:rsidR="00592199" w:rsidRPr="00531C05" w:rsidRDefault="00592199" w:rsidP="00592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531C05">
        <w:rPr>
          <w:b/>
          <w:bCs/>
        </w:rPr>
        <w:t>Raison sociale du candidat (ou du mandataire ): .....................................................................</w:t>
      </w:r>
    </w:p>
    <w:p w14:paraId="4B9600EC" w14:textId="77777777" w:rsidR="00592199" w:rsidRDefault="00592199" w:rsidP="00592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54AE4848" w14:textId="77777777" w:rsidR="00592199" w:rsidRPr="00531C05" w:rsidRDefault="00592199" w:rsidP="00592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531C05">
        <w:rPr>
          <w:b/>
          <w:bCs/>
        </w:rPr>
        <w:t>Rédacteur du mémoire technique (nom et fonction dans l’entreprise) : …………………..…………………………</w:t>
      </w:r>
    </w:p>
    <w:p w14:paraId="3D17D73C" w14:textId="77777777" w:rsidR="00592199" w:rsidRDefault="00592199" w:rsidP="00592199"/>
    <w:p w14:paraId="56A8F3E9" w14:textId="77777777" w:rsidR="00592199" w:rsidRDefault="00592199" w:rsidP="00592199">
      <w:r>
        <w:t>Préambule :</w:t>
      </w:r>
    </w:p>
    <w:p w14:paraId="2AA206B1" w14:textId="77777777" w:rsidR="00592199" w:rsidRDefault="00592199" w:rsidP="00592199"/>
    <w:p w14:paraId="24E76DFF" w14:textId="77777777" w:rsidR="00592199" w:rsidRDefault="00592199" w:rsidP="00592199">
      <w:r w:rsidRPr="00531C05">
        <w:t>Ce document fait partie intégrante de l’offre du candidat.</w:t>
      </w:r>
    </w:p>
    <w:p w14:paraId="5D73A43B" w14:textId="77777777" w:rsidR="00592199" w:rsidRPr="00531C05" w:rsidRDefault="00592199" w:rsidP="00592199">
      <w:r w:rsidRPr="00531C05">
        <w:t xml:space="preserve"> </w:t>
      </w:r>
    </w:p>
    <w:p w14:paraId="3870480C" w14:textId="77777777" w:rsidR="00592199" w:rsidRPr="00531C05" w:rsidRDefault="00592199" w:rsidP="00592199">
      <w:pPr>
        <w:rPr>
          <w:u w:val="single"/>
        </w:rPr>
      </w:pPr>
      <w:r w:rsidRPr="00531C05">
        <w:t xml:space="preserve">Celui-ci doit indiquer, selon les items figurant au règlement de consultation, les dispositions qu'il compte adopter </w:t>
      </w:r>
      <w:r w:rsidRPr="00531C05">
        <w:rPr>
          <w:u w:val="single"/>
        </w:rPr>
        <w:t>en complément des conditions figurant au cahier des charges.</w:t>
      </w:r>
    </w:p>
    <w:p w14:paraId="4688BB51" w14:textId="77777777" w:rsidR="00592199" w:rsidRPr="00531C05" w:rsidRDefault="00592199" w:rsidP="00592199">
      <w:r w:rsidRPr="00531C05">
        <w:t>Les différents éléments demandés sont à renseigner obligatoirement sur le présent document (pas de renvoi à un document propre au candidat)</w:t>
      </w:r>
    </w:p>
    <w:p w14:paraId="0686ECCB" w14:textId="77777777" w:rsidR="00592199" w:rsidRPr="00531C05" w:rsidRDefault="00592199" w:rsidP="00592199"/>
    <w:p w14:paraId="0136DD79" w14:textId="77777777" w:rsidR="00592199" w:rsidRPr="00531C05" w:rsidRDefault="00592199" w:rsidP="00592199">
      <w:r w:rsidRPr="00531C05">
        <w:t>Si le candidat le souhaite, des documents complémentaires peuvent être joints et listés à la fin du présent document.</w:t>
      </w:r>
    </w:p>
    <w:p w14:paraId="30DB2780" w14:textId="77777777" w:rsidR="00592199" w:rsidRPr="00531C05" w:rsidRDefault="00592199" w:rsidP="00592199">
      <w:pPr>
        <w:rPr>
          <w:b/>
          <w:bCs/>
        </w:rPr>
      </w:pPr>
      <w:r w:rsidRPr="00531C05">
        <w:t xml:space="preserve">Le </w:t>
      </w:r>
      <w:r w:rsidRPr="00531C05">
        <w:rPr>
          <w:b/>
          <w:bCs/>
        </w:rPr>
        <w:t>présent mémoire technique sera une pièce contractuelle du marché.</w:t>
      </w:r>
    </w:p>
    <w:p w14:paraId="62872A59" w14:textId="77777777" w:rsidR="00592199" w:rsidRPr="00531C05" w:rsidRDefault="00592199" w:rsidP="00592199">
      <w:r w:rsidRPr="00531C05">
        <w:t xml:space="preserve">A ce titre, les informations et dispositions renseignées </w:t>
      </w:r>
      <w:r w:rsidRPr="00531C05">
        <w:rPr>
          <w:b/>
          <w:bCs/>
        </w:rPr>
        <w:t xml:space="preserve">qui ne remettent pas en cause directement ou indirectement le cahier des charges </w:t>
      </w:r>
      <w:r w:rsidRPr="00531C05">
        <w:t>engagent contractuellement le prestataire quant au respect des moyens mis en œuvre pour l’exécution de ses prestations.</w:t>
      </w:r>
    </w:p>
    <w:p w14:paraId="76707D4B" w14:textId="77777777" w:rsidR="00592199" w:rsidRPr="00531C05" w:rsidRDefault="00592199" w:rsidP="00592199"/>
    <w:p w14:paraId="5483B06A" w14:textId="77777777" w:rsidR="00592199" w:rsidRPr="00531C05" w:rsidRDefault="00592199" w:rsidP="00592199">
      <w:pPr>
        <w:rPr>
          <w:b/>
          <w:bCs/>
        </w:rPr>
      </w:pPr>
      <w:r w:rsidRPr="00531C05">
        <w:rPr>
          <w:b/>
          <w:bCs/>
        </w:rPr>
        <w:t>En cas de groupement d’opérateurs économiques, il est exigé de rédiger un mémoire technique unique. Dans le cas contraire seul le mémoire du mandataire du groupement sera pris en compte.</w:t>
      </w:r>
    </w:p>
    <w:p w14:paraId="19CFA24B" w14:textId="4D91DCA1" w:rsidR="00A44795" w:rsidRDefault="00A44795"/>
    <w:p w14:paraId="6FC9EDF8" w14:textId="30BB28FF" w:rsidR="00A44795" w:rsidRDefault="00A44795"/>
    <w:p w14:paraId="172099AD" w14:textId="58B44FEC" w:rsidR="00A44795" w:rsidRDefault="00A44795"/>
    <w:p w14:paraId="416FD17A" w14:textId="77777777" w:rsidR="00592199" w:rsidRDefault="00592199"/>
    <w:p w14:paraId="1EADB56B" w14:textId="77777777" w:rsidR="00592199" w:rsidRDefault="00592199"/>
    <w:p w14:paraId="39309905" w14:textId="77777777" w:rsidR="00592199" w:rsidRDefault="00592199"/>
    <w:p w14:paraId="6BB61035" w14:textId="77777777" w:rsidR="00592199" w:rsidRDefault="00592199"/>
    <w:p w14:paraId="237AD700" w14:textId="77777777" w:rsidR="00592199" w:rsidRDefault="00592199"/>
    <w:p w14:paraId="2D1EBBFF" w14:textId="77777777" w:rsidR="00592199" w:rsidRDefault="00592199"/>
    <w:p w14:paraId="186AF4EB" w14:textId="5A42893A" w:rsidR="00A44795" w:rsidRDefault="00A44795"/>
    <w:p w14:paraId="45975634" w14:textId="59D2E474" w:rsidR="00A44795" w:rsidRDefault="00A44795"/>
    <w:p w14:paraId="0A930EA2" w14:textId="46A5242F" w:rsidR="00A44795" w:rsidRDefault="00A44795"/>
    <w:p w14:paraId="4869F5EA" w14:textId="240BFFDB" w:rsidR="00A44795" w:rsidRDefault="00A44795"/>
    <w:p w14:paraId="7B6332F8" w14:textId="27A76010" w:rsidR="00A44795" w:rsidRDefault="00A44795"/>
    <w:p w14:paraId="5B1D04FA" w14:textId="0354C962" w:rsidR="00A44795" w:rsidRDefault="00A44795"/>
    <w:p w14:paraId="66BE70EB" w14:textId="32FEC9AE" w:rsidR="00A44795" w:rsidRDefault="00A44795"/>
    <w:p w14:paraId="738BEEAD" w14:textId="5A505436" w:rsidR="00A44795" w:rsidRDefault="00A44795"/>
    <w:p w14:paraId="56BB9513" w14:textId="7552E499" w:rsidR="00A44795" w:rsidRDefault="00A44795"/>
    <w:p w14:paraId="0818B49A" w14:textId="36D52487" w:rsidR="00A44795" w:rsidRDefault="00A44795"/>
    <w:p w14:paraId="29E72BCE" w14:textId="248852BB" w:rsidR="00A44795" w:rsidRDefault="00A44795"/>
    <w:p w14:paraId="1CDAA20F" w14:textId="0A87CFED" w:rsidR="00A44795" w:rsidRDefault="00A44795"/>
    <w:p w14:paraId="3E21FBA5" w14:textId="77777777" w:rsidR="003979FB" w:rsidRDefault="003979FB">
      <w:pPr>
        <w:spacing w:after="160" w:line="259" w:lineRule="auto"/>
        <w:jc w:val="left"/>
      </w:pPr>
      <w:r>
        <w:br w:type="page"/>
      </w:r>
    </w:p>
    <w:p w14:paraId="17406C99" w14:textId="5B58852D" w:rsidR="00A44795" w:rsidRDefault="00A44795">
      <w:r>
        <w:lastRenderedPageBreak/>
        <w:t xml:space="preserve">La société doit transmettre dans des documents en PDF et à part de ce mémoire technique : </w:t>
      </w:r>
    </w:p>
    <w:p w14:paraId="3F92CFE8" w14:textId="27588621" w:rsidR="00B02EBD" w:rsidRDefault="00A44795" w:rsidP="00A44795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="00B02EBD">
        <w:rPr>
          <w:rFonts w:cs="Calibri"/>
          <w:szCs w:val="20"/>
        </w:rPr>
        <w:t>Descriptif et organisation de la société</w:t>
      </w:r>
    </w:p>
    <w:p w14:paraId="1DE16ACE" w14:textId="19531F92" w:rsidR="00A44795" w:rsidRPr="002532DB" w:rsidRDefault="00B02EBD" w:rsidP="003979FB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="00A44795" w:rsidRPr="002532DB">
        <w:rPr>
          <w:rFonts w:cs="Calibri"/>
          <w:szCs w:val="20"/>
        </w:rPr>
        <w:t>L</w:t>
      </w:r>
      <w:r w:rsidR="00946779">
        <w:rPr>
          <w:rFonts w:cs="Calibri"/>
          <w:szCs w:val="20"/>
        </w:rPr>
        <w:t>a documentation technique de l’équipement</w:t>
      </w:r>
      <w:r w:rsidR="003979FB">
        <w:rPr>
          <w:rFonts w:cs="Calibri"/>
          <w:szCs w:val="20"/>
        </w:rPr>
        <w:t>,</w:t>
      </w:r>
    </w:p>
    <w:p w14:paraId="6BCB2638" w14:textId="5B16B27F" w:rsidR="00A44795" w:rsidRPr="002532DB" w:rsidRDefault="00A44795" w:rsidP="00A44795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Pr="002532DB">
        <w:rPr>
          <w:rFonts w:cs="Calibri"/>
          <w:szCs w:val="20"/>
        </w:rPr>
        <w:t>Les schémas des connexions informatiques et électriques,</w:t>
      </w:r>
    </w:p>
    <w:p w14:paraId="69FE9B4F" w14:textId="215CBAE8" w:rsidR="00A44795" w:rsidRDefault="00A44795" w:rsidP="00870793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Pr="002532DB">
        <w:rPr>
          <w:rFonts w:cs="Calibri"/>
          <w:szCs w:val="20"/>
        </w:rPr>
        <w:t>Le dossier d’installation</w:t>
      </w:r>
      <w:r w:rsidR="002B2541">
        <w:rPr>
          <w:rFonts w:cs="Calibri"/>
          <w:szCs w:val="20"/>
        </w:rPr>
        <w:t xml:space="preserve"> à réaliser en lien avec les plans fournis en annexe</w:t>
      </w:r>
      <w:r w:rsidR="00EA49A7">
        <w:rPr>
          <w:rFonts w:cs="Calibri"/>
          <w:szCs w:val="20"/>
        </w:rPr>
        <w:t xml:space="preserve"> (préciser toutes les contraintes et exigences)</w:t>
      </w:r>
      <w:r>
        <w:rPr>
          <w:rFonts w:cs="Calibri"/>
          <w:szCs w:val="20"/>
        </w:rPr>
        <w:t>,</w:t>
      </w:r>
    </w:p>
    <w:p w14:paraId="0FAFC9CF" w14:textId="744DBC2B" w:rsidR="00A564E7" w:rsidRPr="003979FB" w:rsidRDefault="00870793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>- Le manuel d’utilisation</w:t>
      </w:r>
      <w:r w:rsidR="00B7459C">
        <w:rPr>
          <w:rFonts w:cs="Calibri"/>
          <w:szCs w:val="20"/>
        </w:rPr>
        <w:t xml:space="preserve"> en français</w:t>
      </w:r>
      <w:r>
        <w:rPr>
          <w:rFonts w:cs="Calibri"/>
          <w:szCs w:val="20"/>
        </w:rPr>
        <w:t xml:space="preserve">, </w:t>
      </w:r>
    </w:p>
    <w:p w14:paraId="066230C8" w14:textId="5A5DDA21" w:rsidR="00FA71A0" w:rsidRDefault="00FA71A0" w:rsidP="00FA71A0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="00C13E03">
        <w:rPr>
          <w:rFonts w:cs="Calibri"/>
          <w:szCs w:val="20"/>
        </w:rPr>
        <w:t>Exemple de résultats attestant des capacités de détection de son système</w:t>
      </w:r>
    </w:p>
    <w:p w14:paraId="5D85FB5A" w14:textId="2EFA4988" w:rsidR="00A97E60" w:rsidRDefault="00A97E60" w:rsidP="00FA71A0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>- Fiche technique des réactifs de numération des lymphocytes T CD4</w:t>
      </w:r>
      <w:r w:rsidR="00775BB1">
        <w:rPr>
          <w:rFonts w:cs="Calibri"/>
          <w:szCs w:val="20"/>
        </w:rPr>
        <w:t>+,</w:t>
      </w:r>
      <w:r>
        <w:rPr>
          <w:rFonts w:cs="Calibri"/>
          <w:szCs w:val="20"/>
        </w:rPr>
        <w:t xml:space="preserve"> CD8</w:t>
      </w:r>
      <w:r w:rsidR="00775BB1">
        <w:rPr>
          <w:rFonts w:cs="Calibri"/>
          <w:szCs w:val="20"/>
        </w:rPr>
        <w:t>+</w:t>
      </w:r>
      <w:r>
        <w:rPr>
          <w:rFonts w:cs="Calibri"/>
          <w:szCs w:val="20"/>
        </w:rPr>
        <w:t>, B et NK et tout document présentant les résultats de tests pouvant être utiles à l’accréditation de cette analyse</w:t>
      </w:r>
    </w:p>
    <w:p w14:paraId="2C25A70A" w14:textId="43F54166" w:rsidR="00775BB1" w:rsidRDefault="00775BB1" w:rsidP="00FA71A0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>- le cas échéant fiche technique des réactifs permettant la mesure de la valeur absolue des sous-populations lymphocytaires T CD4+, CD8+, B et NK</w:t>
      </w:r>
    </w:p>
    <w:p w14:paraId="42749FC0" w14:textId="77777777" w:rsidR="00870793" w:rsidRDefault="00870793" w:rsidP="00870793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</w:p>
    <w:p w14:paraId="3D9DEE8D" w14:textId="77777777" w:rsidR="00A97E60" w:rsidRDefault="00A97E60" w:rsidP="00A44795">
      <w:pPr>
        <w:rPr>
          <w:b/>
          <w:sz w:val="24"/>
          <w:u w:val="single"/>
        </w:rPr>
      </w:pPr>
    </w:p>
    <w:p w14:paraId="04904584" w14:textId="79F4C106" w:rsidR="00A44795" w:rsidRPr="00A44795" w:rsidRDefault="00A44795" w:rsidP="00A44795">
      <w:pPr>
        <w:rPr>
          <w:b/>
          <w:sz w:val="24"/>
          <w:u w:val="single"/>
        </w:rPr>
      </w:pPr>
      <w:r w:rsidRPr="00A44795">
        <w:rPr>
          <w:b/>
          <w:sz w:val="24"/>
          <w:u w:val="single"/>
        </w:rPr>
        <w:t>Déchets :</w:t>
      </w:r>
    </w:p>
    <w:p w14:paraId="4DA48D62" w14:textId="2D10CA29" w:rsidR="00A44795" w:rsidRPr="0038628B" w:rsidRDefault="00A44795" w:rsidP="00A44795">
      <w:pPr>
        <w:spacing w:before="120"/>
      </w:pPr>
      <w:r w:rsidRPr="0038628B">
        <w:t xml:space="preserve">Le titulaire donne des précisions sur le type de déchets produits par ses équipements proposés : </w:t>
      </w:r>
    </w:p>
    <w:p w14:paraId="746CFFE3" w14:textId="5F10FEDB" w:rsidR="00870793" w:rsidRPr="000E2FDE" w:rsidRDefault="00870793" w:rsidP="00870793">
      <w:pPr>
        <w:pStyle w:val="Paragraphedeliste"/>
        <w:numPr>
          <w:ilvl w:val="0"/>
          <w:numId w:val="3"/>
        </w:numPr>
        <w:spacing w:before="120"/>
        <w:ind w:left="924" w:hanging="357"/>
        <w:contextualSpacing w:val="0"/>
      </w:pPr>
      <w:r w:rsidRPr="000E2FDE">
        <w:t xml:space="preserve">Le contenu exact de chaque type de déchets liquides </w:t>
      </w:r>
      <w:r>
        <w:t xml:space="preserve">/ </w:t>
      </w:r>
      <w:r w:rsidRPr="000E2FDE">
        <w:t xml:space="preserve">solides </w:t>
      </w:r>
      <w:r>
        <w:t>associé à un risque microbiologique /</w:t>
      </w:r>
      <w:r w:rsidRPr="000E2FDE">
        <w:t xml:space="preserve"> chimique</w:t>
      </w:r>
      <w:r>
        <w:t>.</w:t>
      </w:r>
    </w:p>
    <w:p w14:paraId="14A1A233" w14:textId="77777777" w:rsidR="00870793" w:rsidRPr="000E2FDE" w:rsidRDefault="00870793" w:rsidP="00870793">
      <w:pPr>
        <w:pStyle w:val="Paragraphedeliste"/>
        <w:numPr>
          <w:ilvl w:val="0"/>
          <w:numId w:val="3"/>
        </w:numPr>
        <w:spacing w:before="120"/>
        <w:ind w:left="924" w:hanging="357"/>
        <w:contextualSpacing w:val="0"/>
      </w:pPr>
      <w:r w:rsidRPr="000E2FDE">
        <w:t>Le type de conditionnements de chaque déchet. Ceci en termes de volume, d’étanchéité et de manipulations</w:t>
      </w:r>
      <w:r>
        <w:t>.</w:t>
      </w:r>
      <w:r w:rsidRPr="000E2FDE">
        <w:t xml:space="preserve"> </w:t>
      </w:r>
    </w:p>
    <w:p w14:paraId="78CBDC77" w14:textId="77777777" w:rsidR="00A44795" w:rsidRPr="0038628B" w:rsidRDefault="00A44795" w:rsidP="00A44795">
      <w:pPr>
        <w:spacing w:before="120"/>
      </w:pPr>
      <w:r w:rsidRPr="0038628B">
        <w:t>Les déchets classés de type toxique font l’objet d’un « Accord Européen sur le transport des matières dangereuses par route ». La société doit détailler :</w:t>
      </w:r>
    </w:p>
    <w:p w14:paraId="3FD5C135" w14:textId="636CC46C" w:rsidR="00A44795" w:rsidRPr="0038628B" w:rsidRDefault="00A44795" w:rsidP="00A44795">
      <w:pPr>
        <w:pStyle w:val="Paragraphedeliste"/>
        <w:numPr>
          <w:ilvl w:val="0"/>
          <w:numId w:val="2"/>
        </w:numPr>
        <w:spacing w:before="120"/>
        <w:contextualSpacing w:val="0"/>
      </w:pPr>
      <w:r w:rsidRPr="0038628B">
        <w:t>Soit les manipulations nécessaires avec les protections exigées pour sa réalisation.</w:t>
      </w:r>
    </w:p>
    <w:p w14:paraId="0661F163" w14:textId="77777777" w:rsidR="00A44795" w:rsidRPr="0038628B" w:rsidRDefault="00A44795" w:rsidP="00A44795">
      <w:pPr>
        <w:pStyle w:val="Paragraphedeliste"/>
        <w:numPr>
          <w:ilvl w:val="0"/>
          <w:numId w:val="2"/>
        </w:numPr>
        <w:spacing w:before="120"/>
        <w:contextualSpacing w:val="0"/>
      </w:pPr>
      <w:r w:rsidRPr="0038628B">
        <w:t>Soit comment ses propres conditionnements répondent au cadre des diverses réglementations actuelles sur le sujet.</w:t>
      </w:r>
    </w:p>
    <w:p w14:paraId="7676225A" w14:textId="65379251" w:rsidR="00A44795" w:rsidRDefault="00A44795" w:rsidP="00A44795">
      <w:pPr>
        <w:spacing w:before="120"/>
      </w:pPr>
      <w:r w:rsidRPr="0038628B">
        <w:t xml:space="preserve">La société doit indiquer la manière d’élimination des déchets chimiques et biologiques qui est recommandées pour les accessoires, consommables ou tous autres déchets produits par son équipement. </w:t>
      </w:r>
      <w:r>
        <w:t xml:space="preserve">Elle indiquera également le protocole de gestion de ces derniers préconisé par le fabricant. </w:t>
      </w:r>
    </w:p>
    <w:p w14:paraId="1FF51E32" w14:textId="199425CE" w:rsidR="00A44795" w:rsidRDefault="00A44795" w:rsidP="00A44795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4795" w14:paraId="019544C0" w14:textId="77777777" w:rsidTr="00A44795">
        <w:tc>
          <w:tcPr>
            <w:tcW w:w="9062" w:type="dxa"/>
          </w:tcPr>
          <w:p w14:paraId="50FB3F4A" w14:textId="77777777" w:rsidR="00A44795" w:rsidRDefault="00A44795" w:rsidP="00A44795">
            <w:pPr>
              <w:spacing w:before="120"/>
            </w:pPr>
          </w:p>
          <w:p w14:paraId="1805268F" w14:textId="77777777" w:rsidR="00A44795" w:rsidRDefault="00A44795" w:rsidP="00A44795">
            <w:pPr>
              <w:spacing w:before="120"/>
            </w:pPr>
          </w:p>
          <w:p w14:paraId="0A84DA25" w14:textId="77777777" w:rsidR="00A44795" w:rsidRDefault="00A44795" w:rsidP="00A44795">
            <w:pPr>
              <w:spacing w:before="120"/>
            </w:pPr>
          </w:p>
          <w:p w14:paraId="229660EF" w14:textId="77777777" w:rsidR="00A44795" w:rsidRDefault="00A44795" w:rsidP="00A44795">
            <w:pPr>
              <w:spacing w:before="120"/>
            </w:pPr>
          </w:p>
          <w:p w14:paraId="7F5DEBD1" w14:textId="77777777" w:rsidR="00A44795" w:rsidRDefault="00A44795" w:rsidP="00A44795">
            <w:pPr>
              <w:spacing w:before="120"/>
            </w:pPr>
          </w:p>
          <w:p w14:paraId="3BED0137" w14:textId="77777777" w:rsidR="00A44795" w:rsidRDefault="00A44795" w:rsidP="00A44795">
            <w:pPr>
              <w:spacing w:before="120"/>
            </w:pPr>
          </w:p>
          <w:p w14:paraId="5AAD7B77" w14:textId="77777777" w:rsidR="00A44795" w:rsidRDefault="00A44795" w:rsidP="00A44795">
            <w:pPr>
              <w:spacing w:before="120"/>
            </w:pPr>
          </w:p>
          <w:p w14:paraId="11CE60B3" w14:textId="77777777" w:rsidR="00A44795" w:rsidRDefault="00A44795" w:rsidP="00A44795">
            <w:pPr>
              <w:spacing w:before="120"/>
            </w:pPr>
          </w:p>
          <w:p w14:paraId="5131B30A" w14:textId="77777777" w:rsidR="00A44795" w:rsidRDefault="00A44795" w:rsidP="00A44795">
            <w:pPr>
              <w:spacing w:before="120"/>
            </w:pPr>
          </w:p>
          <w:p w14:paraId="7D535949" w14:textId="356079E9" w:rsidR="00A44795" w:rsidRDefault="00A44795" w:rsidP="00A44795">
            <w:pPr>
              <w:spacing w:before="120"/>
            </w:pPr>
          </w:p>
        </w:tc>
      </w:tr>
    </w:tbl>
    <w:p w14:paraId="2CFB0F27" w14:textId="0CEB8D4E" w:rsidR="00A44795" w:rsidRPr="00B12A74" w:rsidRDefault="00A44795" w:rsidP="00B12A74">
      <w:pPr>
        <w:spacing w:after="160" w:line="259" w:lineRule="auto"/>
        <w:jc w:val="left"/>
        <w:rPr>
          <w:rFonts w:cs="Calibri"/>
          <w:szCs w:val="20"/>
        </w:rPr>
      </w:pPr>
    </w:p>
    <w:p w14:paraId="5B839001" w14:textId="7AA1277B" w:rsidR="00FA71A0" w:rsidRPr="00A44795" w:rsidRDefault="00FA71A0" w:rsidP="00FA71A0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  <w:u w:val="single"/>
        </w:rPr>
        <w:t>Validation des méthodes et accréditation des tests</w:t>
      </w:r>
      <w:r w:rsidRPr="00A44795">
        <w:rPr>
          <w:rFonts w:cs="Calibri"/>
          <w:b/>
          <w:bCs/>
          <w:sz w:val="24"/>
          <w:u w:val="single"/>
        </w:rPr>
        <w:t> :</w:t>
      </w:r>
    </w:p>
    <w:p w14:paraId="10341C17" w14:textId="21DD0C85" w:rsidR="00FA71A0" w:rsidRDefault="00FA71A0" w:rsidP="00FA71A0">
      <w:pPr>
        <w:spacing w:before="120"/>
      </w:pPr>
      <w:r w:rsidRPr="0038628B">
        <w:t xml:space="preserve">Le titulaire décrit </w:t>
      </w:r>
      <w:r>
        <w:t xml:space="preserve">l’accompagnement qu’il peut fournir aux équipes pour le maintien d’accréditation des tests réalisés sur le cytomètre : </w:t>
      </w:r>
    </w:p>
    <w:p w14:paraId="38360FED" w14:textId="5D41D0F2" w:rsidR="00FA71A0" w:rsidRDefault="00FA71A0" w:rsidP="00FA71A0">
      <w:pPr>
        <w:pStyle w:val="Paragraphedeliste"/>
        <w:numPr>
          <w:ilvl w:val="0"/>
          <w:numId w:val="4"/>
        </w:numPr>
        <w:spacing w:before="120"/>
      </w:pPr>
      <w:r>
        <w:t xml:space="preserve">Validation de méthode incluant réactifs et consommables nécessaires, </w:t>
      </w:r>
    </w:p>
    <w:p w14:paraId="40F9BCD0" w14:textId="301ABD14" w:rsidR="00FA71A0" w:rsidRDefault="00FA71A0" w:rsidP="00FA71A0">
      <w:pPr>
        <w:pStyle w:val="Paragraphedeliste"/>
        <w:numPr>
          <w:ilvl w:val="0"/>
          <w:numId w:val="4"/>
        </w:numPr>
        <w:spacing w:before="120"/>
      </w:pPr>
      <w:r>
        <w:t xml:space="preserve">Documentation, </w:t>
      </w:r>
    </w:p>
    <w:p w14:paraId="0CD47239" w14:textId="477DD7B0" w:rsidR="00FA71A0" w:rsidRDefault="00FA71A0" w:rsidP="00FA71A0">
      <w:pPr>
        <w:pStyle w:val="Paragraphedeliste"/>
        <w:numPr>
          <w:ilvl w:val="0"/>
          <w:numId w:val="4"/>
        </w:numPr>
        <w:spacing w:before="120"/>
      </w:pPr>
      <w:r>
        <w:t>Les moyens mis en œuvre dans l’accompagnement de la validation des méthodes</w:t>
      </w:r>
    </w:p>
    <w:p w14:paraId="3D7A726A" w14:textId="7C8D40FB" w:rsidR="00680187" w:rsidRDefault="00680187" w:rsidP="00FA71A0">
      <w:pPr>
        <w:pStyle w:val="Paragraphedeliste"/>
        <w:numPr>
          <w:ilvl w:val="0"/>
          <w:numId w:val="4"/>
        </w:numPr>
        <w:spacing w:before="120"/>
      </w:pPr>
      <w:r>
        <w:t>Accompagnement dans le paramétrage initial des panels</w:t>
      </w:r>
    </w:p>
    <w:p w14:paraId="5202E8B3" w14:textId="32DAB960" w:rsidR="00680187" w:rsidRDefault="00680187" w:rsidP="00FA71A0">
      <w:pPr>
        <w:pStyle w:val="Paragraphedeliste"/>
        <w:numPr>
          <w:ilvl w:val="0"/>
          <w:numId w:val="4"/>
        </w:numPr>
        <w:spacing w:before="120"/>
      </w:pPr>
      <w:r>
        <w:t>Formation initiale des techniciens et biologiste</w:t>
      </w:r>
      <w:r w:rsidR="00775BB1">
        <w:t>s</w:t>
      </w:r>
      <w:r>
        <w:t xml:space="preserve"> puis après une période de prise en main</w:t>
      </w:r>
    </w:p>
    <w:p w14:paraId="016FB356" w14:textId="4CE86177" w:rsidR="00FA71A0" w:rsidRDefault="00FA71A0" w:rsidP="00FA71A0">
      <w:pPr>
        <w:pStyle w:val="Paragraphedeliste"/>
        <w:numPr>
          <w:ilvl w:val="0"/>
          <w:numId w:val="4"/>
        </w:numPr>
        <w:spacing w:before="120"/>
      </w:pPr>
      <w:r>
        <w:t>Etc…</w:t>
      </w:r>
    </w:p>
    <w:p w14:paraId="3A264CF6" w14:textId="77777777" w:rsidR="00FA71A0" w:rsidRDefault="00FA71A0" w:rsidP="00FA71A0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71A0" w14:paraId="734F9FA6" w14:textId="77777777" w:rsidTr="009B1CB4">
        <w:tc>
          <w:tcPr>
            <w:tcW w:w="9062" w:type="dxa"/>
          </w:tcPr>
          <w:p w14:paraId="6A635274" w14:textId="77777777" w:rsidR="00FA71A0" w:rsidRDefault="00FA71A0" w:rsidP="009B1CB4">
            <w:pPr>
              <w:spacing w:before="120"/>
            </w:pPr>
          </w:p>
          <w:p w14:paraId="7F5F2B37" w14:textId="77777777" w:rsidR="00FA71A0" w:rsidRDefault="00FA71A0" w:rsidP="009B1CB4">
            <w:pPr>
              <w:spacing w:before="120"/>
            </w:pPr>
          </w:p>
          <w:p w14:paraId="0109DF96" w14:textId="77777777" w:rsidR="00FA71A0" w:rsidRDefault="00FA71A0" w:rsidP="009B1CB4">
            <w:pPr>
              <w:spacing w:before="120"/>
            </w:pPr>
          </w:p>
          <w:p w14:paraId="72D321AE" w14:textId="77777777" w:rsidR="00FA71A0" w:rsidRDefault="00FA71A0" w:rsidP="009B1CB4">
            <w:pPr>
              <w:spacing w:before="120"/>
            </w:pPr>
          </w:p>
          <w:p w14:paraId="28C00627" w14:textId="77777777" w:rsidR="00FA71A0" w:rsidRDefault="00FA71A0" w:rsidP="009B1CB4">
            <w:pPr>
              <w:spacing w:before="120"/>
            </w:pPr>
          </w:p>
          <w:p w14:paraId="69B8C16F" w14:textId="77777777" w:rsidR="00FA71A0" w:rsidRDefault="00FA71A0" w:rsidP="009B1CB4">
            <w:pPr>
              <w:spacing w:before="120"/>
            </w:pPr>
          </w:p>
          <w:p w14:paraId="6FE1B329" w14:textId="77777777" w:rsidR="00FA71A0" w:rsidRDefault="00FA71A0" w:rsidP="009B1CB4">
            <w:pPr>
              <w:spacing w:before="120"/>
            </w:pPr>
          </w:p>
          <w:p w14:paraId="40A3250E" w14:textId="77777777" w:rsidR="00FA71A0" w:rsidRDefault="00FA71A0" w:rsidP="009B1CB4">
            <w:pPr>
              <w:spacing w:before="120"/>
            </w:pPr>
          </w:p>
          <w:p w14:paraId="4DD158FC" w14:textId="77777777" w:rsidR="00FA71A0" w:rsidRDefault="00FA71A0" w:rsidP="009B1CB4">
            <w:pPr>
              <w:spacing w:before="120"/>
            </w:pPr>
          </w:p>
        </w:tc>
      </w:tr>
    </w:tbl>
    <w:p w14:paraId="4C69B0ED" w14:textId="77777777" w:rsidR="00870793" w:rsidRDefault="00870793" w:rsidP="0087079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01DD2672" w14:textId="77777777" w:rsidR="00870793" w:rsidRDefault="00870793" w:rsidP="0087079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5C9CEFD0" w14:textId="2A776C97" w:rsidR="00870793" w:rsidRPr="00A44795" w:rsidRDefault="00870793" w:rsidP="0087079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  <w:u w:val="single"/>
        </w:rPr>
        <w:t xml:space="preserve">Détails de l’offre déposée par le titulaire </w:t>
      </w:r>
      <w:r w:rsidRPr="00A44795">
        <w:rPr>
          <w:rFonts w:cs="Calibri"/>
          <w:b/>
          <w:bCs/>
          <w:sz w:val="24"/>
          <w:u w:val="single"/>
        </w:rPr>
        <w:t>:</w:t>
      </w:r>
    </w:p>
    <w:p w14:paraId="2C692FF8" w14:textId="77777777" w:rsidR="00870793" w:rsidRDefault="00870793" w:rsidP="00870793">
      <w:pPr>
        <w:spacing w:before="120"/>
      </w:pPr>
      <w:r>
        <w:t xml:space="preserve">Le titulaire décrit précisément l’offre qu’il souhaite proposer pour répondre au besoin des HCL. </w:t>
      </w:r>
    </w:p>
    <w:p w14:paraId="0530D23A" w14:textId="6E6FE58A" w:rsidR="00870793" w:rsidRDefault="00870793" w:rsidP="00870793">
      <w:pPr>
        <w:spacing w:before="120"/>
      </w:pPr>
      <w:r>
        <w:t xml:space="preserve">Une présentation de cette même offre sera organisée au cours de la semaine des essais de </w:t>
      </w:r>
      <w:r w:rsidR="00A97E60">
        <w:t>l’</w:t>
      </w:r>
      <w:r>
        <w:t xml:space="preserve">équipement.  </w:t>
      </w:r>
    </w:p>
    <w:p w14:paraId="3CFDA661" w14:textId="0DAE5BF4" w:rsidR="00870793" w:rsidRDefault="007C19AB" w:rsidP="007C19AB">
      <w:pPr>
        <w:pStyle w:val="Paragraphedeliste"/>
        <w:numPr>
          <w:ilvl w:val="0"/>
          <w:numId w:val="4"/>
        </w:numPr>
        <w:spacing w:before="120"/>
      </w:pPr>
      <w:r>
        <w:t xml:space="preserve">Nombre d’équipement sur chaque site, </w:t>
      </w:r>
    </w:p>
    <w:p w14:paraId="750A68B1" w14:textId="004F136B" w:rsidR="00A97E60" w:rsidRDefault="00A97E60" w:rsidP="007C19AB">
      <w:pPr>
        <w:pStyle w:val="Paragraphedeliste"/>
        <w:numPr>
          <w:ilvl w:val="0"/>
          <w:numId w:val="4"/>
        </w:numPr>
        <w:spacing w:before="120"/>
      </w:pPr>
      <w:r>
        <w:t>Fourniture de PC de retraitement des données</w:t>
      </w:r>
    </w:p>
    <w:p w14:paraId="746AB380" w14:textId="63D21650" w:rsidR="003C7398" w:rsidRDefault="00A97E60" w:rsidP="003C7398">
      <w:pPr>
        <w:pStyle w:val="Paragraphedeliste"/>
        <w:numPr>
          <w:ilvl w:val="0"/>
          <w:numId w:val="4"/>
        </w:numPr>
        <w:spacing w:before="120"/>
      </w:pPr>
      <w:r>
        <w:t>Fourniture de licences du logiciel supplémentaires à installer sur des PC HCL</w:t>
      </w:r>
    </w:p>
    <w:p w14:paraId="225CA18B" w14:textId="4398B144" w:rsidR="007C19AB" w:rsidRDefault="007C19AB" w:rsidP="00B0253D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0793" w14:paraId="33A1E097" w14:textId="77777777" w:rsidTr="00D902C7">
        <w:tc>
          <w:tcPr>
            <w:tcW w:w="9062" w:type="dxa"/>
          </w:tcPr>
          <w:p w14:paraId="69E4B0A0" w14:textId="77777777" w:rsidR="00870793" w:rsidRDefault="00870793" w:rsidP="00D902C7">
            <w:pPr>
              <w:spacing w:before="120"/>
            </w:pPr>
          </w:p>
          <w:p w14:paraId="0558DEB8" w14:textId="77777777" w:rsidR="00870793" w:rsidRDefault="00870793" w:rsidP="00D902C7">
            <w:pPr>
              <w:spacing w:before="120"/>
            </w:pPr>
          </w:p>
          <w:p w14:paraId="3D64DE3C" w14:textId="6027C39C" w:rsidR="00870793" w:rsidRDefault="00870793" w:rsidP="00D902C7">
            <w:pPr>
              <w:spacing w:before="120"/>
            </w:pPr>
          </w:p>
          <w:p w14:paraId="70881CE6" w14:textId="30C98C9B" w:rsidR="00440D78" w:rsidRDefault="00440D78" w:rsidP="00D902C7">
            <w:pPr>
              <w:spacing w:before="120"/>
            </w:pPr>
          </w:p>
          <w:p w14:paraId="3F23E343" w14:textId="5ED249B8" w:rsidR="00440D78" w:rsidRDefault="00440D78" w:rsidP="00D902C7">
            <w:pPr>
              <w:spacing w:before="120"/>
            </w:pPr>
          </w:p>
          <w:p w14:paraId="44630384" w14:textId="258AB978" w:rsidR="00440D78" w:rsidRDefault="00440D78" w:rsidP="00D902C7">
            <w:pPr>
              <w:spacing w:before="120"/>
            </w:pPr>
          </w:p>
          <w:p w14:paraId="55F9F441" w14:textId="711C3C46" w:rsidR="00440D78" w:rsidRDefault="00440D78" w:rsidP="00D902C7">
            <w:pPr>
              <w:spacing w:before="120"/>
            </w:pPr>
          </w:p>
          <w:p w14:paraId="63414163" w14:textId="59766BD3" w:rsidR="00440D78" w:rsidRDefault="00440D78" w:rsidP="00D902C7">
            <w:pPr>
              <w:spacing w:before="120"/>
            </w:pPr>
          </w:p>
          <w:p w14:paraId="17F9D283" w14:textId="77777777" w:rsidR="00870793" w:rsidRDefault="00870793" w:rsidP="00D902C7">
            <w:pPr>
              <w:spacing w:before="120"/>
            </w:pPr>
          </w:p>
          <w:p w14:paraId="660D9F37" w14:textId="77777777" w:rsidR="00870793" w:rsidRDefault="00870793" w:rsidP="00D902C7">
            <w:pPr>
              <w:spacing w:before="120"/>
            </w:pPr>
          </w:p>
        </w:tc>
      </w:tr>
    </w:tbl>
    <w:p w14:paraId="3AAB1E88" w14:textId="77777777" w:rsidR="003979FB" w:rsidRDefault="003979FB" w:rsidP="00FA71A0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608B2E56" w14:textId="77777777" w:rsidR="00E61835" w:rsidRDefault="00E61835" w:rsidP="00FD66C6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  <w:u w:val="single"/>
        </w:rPr>
        <w:t>Méthode et réactifs pour la détermination</w:t>
      </w:r>
      <w:r w:rsidR="00FD66C6">
        <w:rPr>
          <w:rFonts w:cs="Calibri"/>
          <w:b/>
          <w:bCs/>
          <w:sz w:val="24"/>
          <w:u w:val="single"/>
        </w:rPr>
        <w:t xml:space="preserve"> des </w:t>
      </w:r>
      <w:r>
        <w:rPr>
          <w:rFonts w:cs="Calibri"/>
          <w:b/>
          <w:bCs/>
          <w:sz w:val="24"/>
          <w:u w:val="single"/>
        </w:rPr>
        <w:t>% et valeurs absolues des lymphocytes T (CD3, CD4 et CD8), B et NK</w:t>
      </w:r>
      <w:r w:rsidRPr="00A44795">
        <w:rPr>
          <w:rFonts w:cs="Calibri"/>
          <w:b/>
          <w:bCs/>
          <w:sz w:val="24"/>
          <w:u w:val="single"/>
        </w:rPr>
        <w:t> :</w:t>
      </w:r>
    </w:p>
    <w:p w14:paraId="4E96EAA0" w14:textId="77777777" w:rsidR="00775BB1" w:rsidRDefault="00775BB1" w:rsidP="00FD66C6">
      <w:pPr>
        <w:tabs>
          <w:tab w:val="left" w:pos="1597"/>
          <w:tab w:val="left" w:pos="3261"/>
        </w:tabs>
        <w:jc w:val="left"/>
        <w:rPr>
          <w:rFonts w:cs="Calibri"/>
          <w:bCs/>
        </w:rPr>
      </w:pPr>
    </w:p>
    <w:p w14:paraId="2949EE4C" w14:textId="53D565ED" w:rsidR="00775BB1" w:rsidRDefault="00775BB1" w:rsidP="00775BB1">
      <w:pPr>
        <w:spacing w:before="120"/>
      </w:pPr>
      <w:r>
        <w:t xml:space="preserve">Le titulaire décrit précisément la méthode utilisée pour la numération en pourcentage et </w:t>
      </w:r>
      <w:r w:rsidR="00A103C0">
        <w:t>valeur</w:t>
      </w:r>
      <w:r>
        <w:t xml:space="preserve"> absolue des sous-populations de lymphocytes </w:t>
      </w:r>
      <w:r w:rsidRPr="00775BB1">
        <w:t>T (CD3, CD4 et CD8), B et NK</w:t>
      </w:r>
      <w:r>
        <w:t xml:space="preserve"> qu’il souhaite proposer pour répondre au besoin des HCL. </w:t>
      </w:r>
    </w:p>
    <w:p w14:paraId="274BFD87" w14:textId="77777777" w:rsidR="00775BB1" w:rsidRDefault="00775BB1" w:rsidP="00FD66C6">
      <w:pPr>
        <w:tabs>
          <w:tab w:val="left" w:pos="1597"/>
          <w:tab w:val="left" w:pos="3261"/>
        </w:tabs>
        <w:jc w:val="left"/>
        <w:rPr>
          <w:rFonts w:cs="Calibri"/>
          <w:bCs/>
        </w:rPr>
      </w:pPr>
    </w:p>
    <w:p w14:paraId="15B3BB7C" w14:textId="0EB3EB06" w:rsidR="00FD66C6" w:rsidRPr="00A72180" w:rsidRDefault="00FD66C6" w:rsidP="00FD66C6">
      <w:pPr>
        <w:tabs>
          <w:tab w:val="left" w:pos="1597"/>
          <w:tab w:val="left" w:pos="3261"/>
        </w:tabs>
        <w:jc w:val="left"/>
        <w:rPr>
          <w:rFonts w:cs="Calibri"/>
          <w:bCs/>
        </w:rPr>
      </w:pPr>
      <w:r w:rsidRPr="00A72180">
        <w:rPr>
          <w:rFonts w:cs="Calibri"/>
          <w:bCs/>
        </w:rPr>
        <w:t>- Réactifs</w:t>
      </w:r>
      <w:r>
        <w:rPr>
          <w:rFonts w:cs="Calibri"/>
          <w:bCs/>
        </w:rPr>
        <w:t xml:space="preserve"> et d</w:t>
      </w:r>
      <w:r w:rsidRPr="00A72180">
        <w:rPr>
          <w:rFonts w:cs="Calibri"/>
          <w:bCs/>
        </w:rPr>
        <w:t xml:space="preserve">urée </w:t>
      </w:r>
      <w:r w:rsidRPr="00FD66C6">
        <w:rPr>
          <w:rFonts w:cs="Calibri"/>
          <w:bCs/>
        </w:rPr>
        <w:t>de péremption</w:t>
      </w:r>
    </w:p>
    <w:p w14:paraId="329B61E7" w14:textId="62056EA4" w:rsidR="00FD66C6" w:rsidRPr="00A72180" w:rsidRDefault="00FD66C6" w:rsidP="00FD66C6">
      <w:pPr>
        <w:tabs>
          <w:tab w:val="left" w:pos="1597"/>
          <w:tab w:val="left" w:pos="3261"/>
        </w:tabs>
        <w:jc w:val="left"/>
        <w:rPr>
          <w:rFonts w:cs="Calibri"/>
          <w:bCs/>
        </w:rPr>
      </w:pPr>
      <w:r w:rsidRPr="00A72180">
        <w:rPr>
          <w:rFonts w:cs="Calibri"/>
          <w:bCs/>
        </w:rPr>
        <w:t xml:space="preserve">- </w:t>
      </w:r>
      <w:r w:rsidR="001F2DC6">
        <w:rPr>
          <w:rFonts w:cs="Calibri"/>
          <w:bCs/>
        </w:rPr>
        <w:t>Procédure, m</w:t>
      </w:r>
      <w:r w:rsidRPr="00A72180">
        <w:rPr>
          <w:rFonts w:cs="Calibri"/>
          <w:bCs/>
        </w:rPr>
        <w:t>éthodologie</w:t>
      </w:r>
      <w:r w:rsidR="001F2DC6">
        <w:rPr>
          <w:rFonts w:cs="Calibri"/>
          <w:bCs/>
        </w:rPr>
        <w:t>, contraintes de réalisation</w:t>
      </w:r>
    </w:p>
    <w:p w14:paraId="3CA57E76" w14:textId="057278DA" w:rsidR="00FD66C6" w:rsidRDefault="00FD66C6" w:rsidP="00FD66C6">
      <w:pPr>
        <w:tabs>
          <w:tab w:val="left" w:pos="1597"/>
          <w:tab w:val="left" w:pos="3261"/>
        </w:tabs>
        <w:jc w:val="left"/>
        <w:rPr>
          <w:rFonts w:cs="Calibri"/>
          <w:bCs/>
        </w:rPr>
      </w:pPr>
      <w:r w:rsidRPr="00A72180">
        <w:rPr>
          <w:rFonts w:cs="Calibri"/>
          <w:bCs/>
        </w:rPr>
        <w:t>- Calibration</w:t>
      </w:r>
      <w:r>
        <w:rPr>
          <w:rFonts w:cs="Calibri"/>
          <w:bCs/>
        </w:rPr>
        <w:t>, f</w:t>
      </w:r>
      <w:r w:rsidRPr="00A72180">
        <w:rPr>
          <w:rFonts w:cs="Calibri"/>
          <w:bCs/>
        </w:rPr>
        <w:t>réquence</w:t>
      </w:r>
    </w:p>
    <w:p w14:paraId="1392EC8F" w14:textId="37BA80C4" w:rsidR="001F2DC6" w:rsidRDefault="001F2DC6" w:rsidP="00FD66C6">
      <w:pPr>
        <w:tabs>
          <w:tab w:val="left" w:pos="1597"/>
          <w:tab w:val="left" w:pos="3261"/>
        </w:tabs>
        <w:jc w:val="left"/>
        <w:rPr>
          <w:rFonts w:cs="Calibri"/>
          <w:bCs/>
        </w:rPr>
      </w:pPr>
      <w:r>
        <w:rPr>
          <w:rFonts w:cs="Calibri"/>
          <w:bCs/>
        </w:rPr>
        <w:t>- Durée de conservation des cellules marquées avant analyse</w:t>
      </w:r>
    </w:p>
    <w:p w14:paraId="08EA9EF9" w14:textId="1E6E0FC8" w:rsidR="00775BB1" w:rsidRPr="00A72180" w:rsidRDefault="00775BB1" w:rsidP="00FD66C6">
      <w:pPr>
        <w:tabs>
          <w:tab w:val="left" w:pos="1597"/>
          <w:tab w:val="left" w:pos="3261"/>
        </w:tabs>
        <w:jc w:val="left"/>
        <w:rPr>
          <w:rFonts w:cs="Calibri"/>
          <w:bCs/>
        </w:rPr>
      </w:pPr>
      <w:r>
        <w:rPr>
          <w:rFonts w:cs="Calibri"/>
          <w:bCs/>
        </w:rPr>
        <w:t>- exemple de résultats incluant la s</w:t>
      </w:r>
      <w:r w:rsidRPr="00775BB1">
        <w:rPr>
          <w:rFonts w:cs="Calibri"/>
          <w:bCs/>
        </w:rPr>
        <w:t>tratégie de gating pour la détermination des % et valeurs absolues des lymphocytes T (CD3, CD4 et CD8), B et NK</w:t>
      </w:r>
    </w:p>
    <w:p w14:paraId="626E66D2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406B80A6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77332B88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0119E856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59F2DC52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54FB0EA7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3E6E124E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1FC11AEC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0D7B1050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452D77FF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7C614E8B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3C0F33B1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2E3ED742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3BD4BD2B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6B69EB51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59757451" w14:textId="77777777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</w:p>
    <w:p w14:paraId="6931EDAD" w14:textId="626DB9F5" w:rsidR="00FD66C6" w:rsidRDefault="00FD66C6" w:rsidP="00A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2683CD30" w14:textId="77777777" w:rsidR="00FD66C6" w:rsidRDefault="00FD66C6" w:rsidP="00FA71A0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646247F6" w14:textId="4C6636AA" w:rsidR="00FA71A0" w:rsidRPr="00A44795" w:rsidRDefault="00FA71A0" w:rsidP="00FA71A0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  <w:u w:val="single"/>
        </w:rPr>
        <w:t>Contrôle</w:t>
      </w:r>
      <w:r w:rsidR="00F03271">
        <w:rPr>
          <w:rFonts w:cs="Calibri"/>
          <w:b/>
          <w:bCs/>
          <w:sz w:val="24"/>
          <w:u w:val="single"/>
        </w:rPr>
        <w:t>s</w:t>
      </w:r>
      <w:r>
        <w:rPr>
          <w:rFonts w:cs="Calibri"/>
          <w:b/>
          <w:bCs/>
          <w:sz w:val="24"/>
          <w:u w:val="single"/>
        </w:rPr>
        <w:t xml:space="preserve"> qualité</w:t>
      </w:r>
      <w:r w:rsidRPr="00A44795">
        <w:rPr>
          <w:rFonts w:cs="Calibri"/>
          <w:b/>
          <w:bCs/>
          <w:sz w:val="24"/>
          <w:u w:val="single"/>
        </w:rPr>
        <w:t> :</w:t>
      </w:r>
    </w:p>
    <w:p w14:paraId="0868746E" w14:textId="3C947189" w:rsidR="00FA71A0" w:rsidRDefault="00FA71A0" w:rsidP="00FA71A0">
      <w:pPr>
        <w:spacing w:before="120"/>
      </w:pPr>
      <w:r w:rsidRPr="0038628B">
        <w:t xml:space="preserve">Le titulaire décrit </w:t>
      </w:r>
      <w:r>
        <w:t>le système proposé pour le contrôle de l’alignement optique du système et de la stabilité fluidique</w:t>
      </w:r>
      <w:r w:rsidR="00A97E60">
        <w:t xml:space="preserve">, ainsi que pour les contrôles internes de qualité dédié à la numération des lymphocytes T </w:t>
      </w:r>
      <w:r w:rsidR="001F2DC6">
        <w:t xml:space="preserve">CD3, </w:t>
      </w:r>
      <w:r w:rsidR="00A97E60">
        <w:t>CD4</w:t>
      </w:r>
      <w:r w:rsidR="001F2DC6">
        <w:t>,</w:t>
      </w:r>
      <w:r w:rsidR="00A97E60">
        <w:t xml:space="preserve"> CD8, B et NK (dont externalisation des résultats)</w:t>
      </w:r>
    </w:p>
    <w:p w14:paraId="2A474234" w14:textId="77777777" w:rsidR="00FA71A0" w:rsidRDefault="00FA71A0" w:rsidP="00FA71A0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71A0" w14:paraId="12E1DF03" w14:textId="77777777" w:rsidTr="009B1CB4">
        <w:tc>
          <w:tcPr>
            <w:tcW w:w="9062" w:type="dxa"/>
          </w:tcPr>
          <w:p w14:paraId="0AC39F1C" w14:textId="77777777" w:rsidR="00FA71A0" w:rsidRDefault="00FA71A0" w:rsidP="009B1CB4">
            <w:pPr>
              <w:spacing w:before="120"/>
            </w:pPr>
          </w:p>
          <w:p w14:paraId="0DBB9CF6" w14:textId="77777777" w:rsidR="00FA71A0" w:rsidRDefault="00FA71A0" w:rsidP="009B1CB4">
            <w:pPr>
              <w:spacing w:before="120"/>
            </w:pPr>
          </w:p>
          <w:p w14:paraId="71814E26" w14:textId="77777777" w:rsidR="00FA71A0" w:rsidRDefault="00FA71A0" w:rsidP="009B1CB4">
            <w:pPr>
              <w:spacing w:before="120"/>
            </w:pPr>
          </w:p>
          <w:p w14:paraId="089FFE45" w14:textId="77777777" w:rsidR="00FA71A0" w:rsidRDefault="00FA71A0" w:rsidP="009B1CB4">
            <w:pPr>
              <w:spacing w:before="120"/>
            </w:pPr>
          </w:p>
          <w:p w14:paraId="7CEA5748" w14:textId="77777777" w:rsidR="00FA71A0" w:rsidRDefault="00FA71A0" w:rsidP="009B1CB4">
            <w:pPr>
              <w:spacing w:before="120"/>
            </w:pPr>
          </w:p>
          <w:p w14:paraId="45236A87" w14:textId="77777777" w:rsidR="00FA71A0" w:rsidRDefault="00FA71A0" w:rsidP="009B1CB4">
            <w:pPr>
              <w:spacing w:before="120"/>
            </w:pPr>
          </w:p>
          <w:p w14:paraId="7ABAA32B" w14:textId="77777777" w:rsidR="00FA71A0" w:rsidRDefault="00FA71A0" w:rsidP="009B1CB4">
            <w:pPr>
              <w:spacing w:before="120"/>
            </w:pPr>
          </w:p>
          <w:p w14:paraId="65129890" w14:textId="77777777" w:rsidR="00FA71A0" w:rsidRDefault="00FA71A0" w:rsidP="009B1CB4">
            <w:pPr>
              <w:spacing w:before="120"/>
            </w:pPr>
          </w:p>
          <w:p w14:paraId="1573B48A" w14:textId="77777777" w:rsidR="00FA71A0" w:rsidRDefault="00FA71A0" w:rsidP="009B1CB4">
            <w:pPr>
              <w:spacing w:before="120"/>
            </w:pPr>
          </w:p>
        </w:tc>
      </w:tr>
    </w:tbl>
    <w:p w14:paraId="095F320A" w14:textId="77777777" w:rsidR="00C13E03" w:rsidRDefault="00C13E03" w:rsidP="00C13E0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25CAF19A" w14:textId="773732A6" w:rsidR="00C13E03" w:rsidRPr="00A44795" w:rsidRDefault="00C13E03" w:rsidP="00C13E0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  <w:u w:val="single"/>
        </w:rPr>
        <w:t>Echantillons et système fluidique</w:t>
      </w:r>
      <w:r w:rsidRPr="00A44795">
        <w:rPr>
          <w:rFonts w:cs="Calibri"/>
          <w:b/>
          <w:bCs/>
          <w:sz w:val="24"/>
          <w:u w:val="single"/>
        </w:rPr>
        <w:t> :</w:t>
      </w:r>
    </w:p>
    <w:p w14:paraId="5BAB97A4" w14:textId="77777777" w:rsidR="00C13E03" w:rsidRDefault="00C13E03" w:rsidP="00C13E03">
      <w:pPr>
        <w:rPr>
          <w:rFonts w:cstheme="minorHAnsi"/>
          <w:color w:val="000000" w:themeColor="text1"/>
        </w:rPr>
      </w:pPr>
    </w:p>
    <w:p w14:paraId="3FCD4A1D" w14:textId="5873D2E5" w:rsidR="00C13E03" w:rsidRPr="00BE5844" w:rsidRDefault="00C13E03" w:rsidP="00C13E03">
      <w:pPr>
        <w:rPr>
          <w:rFonts w:cstheme="minorHAnsi"/>
          <w:color w:val="000000" w:themeColor="text1"/>
        </w:rPr>
      </w:pPr>
      <w:r w:rsidRPr="00BE5844">
        <w:rPr>
          <w:rFonts w:cstheme="minorHAnsi"/>
          <w:color w:val="000000" w:themeColor="text1"/>
        </w:rPr>
        <w:t>Dans le cadre des critères qualité le fournisseur précise les dispositifs prévus pour assurer la traçabilité des échantillons (marquage par code à barre, portoir/carrousel, position, tube).</w:t>
      </w:r>
    </w:p>
    <w:p w14:paraId="199C3A5C" w14:textId="77777777" w:rsidR="00C13E03" w:rsidRDefault="00C13E03" w:rsidP="00C13E03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3E03" w14:paraId="2865390A" w14:textId="77777777" w:rsidTr="004F77E1">
        <w:tc>
          <w:tcPr>
            <w:tcW w:w="9062" w:type="dxa"/>
          </w:tcPr>
          <w:p w14:paraId="1977A7C7" w14:textId="77777777" w:rsidR="00C13E03" w:rsidRDefault="00C13E03" w:rsidP="004F77E1">
            <w:pPr>
              <w:spacing w:before="120"/>
            </w:pPr>
          </w:p>
          <w:p w14:paraId="1E6C344B" w14:textId="77777777" w:rsidR="00C13E03" w:rsidRDefault="00C13E03" w:rsidP="004F77E1">
            <w:pPr>
              <w:spacing w:before="120"/>
            </w:pPr>
          </w:p>
          <w:p w14:paraId="381EE129" w14:textId="77777777" w:rsidR="00C13E03" w:rsidRDefault="00C13E03" w:rsidP="004F77E1">
            <w:pPr>
              <w:spacing w:before="120"/>
            </w:pPr>
          </w:p>
          <w:p w14:paraId="13B0B96A" w14:textId="77777777" w:rsidR="00C13E03" w:rsidRDefault="00C13E03" w:rsidP="004F77E1">
            <w:pPr>
              <w:spacing w:before="120"/>
            </w:pPr>
          </w:p>
          <w:p w14:paraId="7DC5D0F9" w14:textId="77777777" w:rsidR="00C13E03" w:rsidRDefault="00C13E03" w:rsidP="004F77E1">
            <w:pPr>
              <w:spacing w:before="120"/>
            </w:pPr>
          </w:p>
          <w:p w14:paraId="28EEECE0" w14:textId="77777777" w:rsidR="00C13E03" w:rsidRDefault="00C13E03" w:rsidP="004F77E1">
            <w:pPr>
              <w:spacing w:before="120"/>
            </w:pPr>
          </w:p>
          <w:p w14:paraId="71021022" w14:textId="77777777" w:rsidR="00C13E03" w:rsidRDefault="00C13E03" w:rsidP="004F77E1">
            <w:pPr>
              <w:spacing w:before="120"/>
            </w:pPr>
          </w:p>
          <w:p w14:paraId="7731E27B" w14:textId="77777777" w:rsidR="00C13E03" w:rsidRDefault="00C13E03" w:rsidP="004F77E1">
            <w:pPr>
              <w:spacing w:before="120"/>
            </w:pPr>
          </w:p>
          <w:p w14:paraId="4FCA8BE2" w14:textId="77777777" w:rsidR="00C13E03" w:rsidRDefault="00C13E03" w:rsidP="004F77E1">
            <w:pPr>
              <w:spacing w:before="120"/>
            </w:pPr>
          </w:p>
        </w:tc>
      </w:tr>
    </w:tbl>
    <w:p w14:paraId="6622D42B" w14:textId="77777777" w:rsidR="00FA71A0" w:rsidRDefault="00FA71A0">
      <w:pPr>
        <w:spacing w:after="160" w:line="259" w:lineRule="auto"/>
        <w:jc w:val="left"/>
        <w:rPr>
          <w:rFonts w:cs="Calibri"/>
          <w:b/>
          <w:bCs/>
          <w:sz w:val="24"/>
        </w:rPr>
      </w:pPr>
    </w:p>
    <w:p w14:paraId="613262A4" w14:textId="5A411B96" w:rsidR="00FA71A0" w:rsidRPr="00A44795" w:rsidRDefault="00FA71A0" w:rsidP="00FA71A0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  <w:u w:val="single"/>
        </w:rPr>
        <w:t>Organisation (Sur le Groupement Hospitalier Centre)</w:t>
      </w:r>
      <w:r w:rsidRPr="00A44795">
        <w:rPr>
          <w:rFonts w:cs="Calibri"/>
          <w:b/>
          <w:bCs/>
          <w:sz w:val="24"/>
          <w:u w:val="single"/>
        </w:rPr>
        <w:t> :</w:t>
      </w:r>
    </w:p>
    <w:p w14:paraId="641ED7DE" w14:textId="77777777" w:rsidR="00FA71A0" w:rsidRDefault="00FA71A0" w:rsidP="00FA71A0"/>
    <w:p w14:paraId="4292011B" w14:textId="77777777" w:rsidR="00FA71A0" w:rsidRDefault="00FA71A0" w:rsidP="00FA71A0">
      <w:pPr>
        <w:rPr>
          <w:rFonts w:cstheme="minorHAnsi"/>
        </w:rPr>
      </w:pPr>
      <w:r w:rsidRPr="00BE5844">
        <w:rPr>
          <w:rFonts w:cstheme="minorHAnsi"/>
        </w:rPr>
        <w:t xml:space="preserve">Il est probable que le renouvellement du parc de cytomètres entraine une profonde réorganisation des flux d’analyse. Celle-ci impliquera une période de transition critique pendant laquelle les différentes organisations (nouvelle et ancienne) se chevaucheront. </w:t>
      </w:r>
    </w:p>
    <w:p w14:paraId="6467E257" w14:textId="4036A7B2" w:rsidR="00FA71A0" w:rsidRDefault="00FA71A0" w:rsidP="00FA71A0">
      <w:pPr>
        <w:rPr>
          <w:rFonts w:cstheme="minorHAnsi"/>
          <w:b/>
        </w:rPr>
      </w:pPr>
      <w:r w:rsidRPr="00BE5844">
        <w:rPr>
          <w:rFonts w:cstheme="minorHAnsi"/>
        </w:rPr>
        <w:t xml:space="preserve">Le fournisseur propose des scénarios théoriques d’installation et d’organisation (échéancier à préciser selon dates d’achat effectives) et </w:t>
      </w:r>
      <w:r w:rsidRPr="005349DC">
        <w:rPr>
          <w:rFonts w:cstheme="minorHAnsi"/>
          <w:b/>
        </w:rPr>
        <w:t>précisera les moyens humains (nombre / durée) mis à disposition pour accompagner cette phase de transition.</w:t>
      </w:r>
      <w:r>
        <w:rPr>
          <w:rFonts w:cstheme="minorHAnsi"/>
          <w:b/>
        </w:rPr>
        <w:t xml:space="preserve"> </w:t>
      </w:r>
    </w:p>
    <w:p w14:paraId="07DABAD3" w14:textId="77777777" w:rsidR="00FA71A0" w:rsidRDefault="00FA71A0" w:rsidP="00FA71A0">
      <w:pPr>
        <w:rPr>
          <w:rFonts w:cstheme="minorHAnsi"/>
          <w:b/>
        </w:rPr>
      </w:pPr>
    </w:p>
    <w:p w14:paraId="0BCC2884" w14:textId="25D46C36" w:rsidR="00FA71A0" w:rsidRDefault="00FA71A0" w:rsidP="00FA71A0">
      <w:pPr>
        <w:rPr>
          <w:rFonts w:cstheme="minorHAnsi"/>
          <w:b/>
        </w:rPr>
      </w:pPr>
      <w:r>
        <w:rPr>
          <w:rFonts w:cstheme="minorHAnsi"/>
          <w:b/>
        </w:rPr>
        <w:t>Les moyens mis en œuvre dans l’accompagnement de l’accréditation de la nouvelle organisation seront précisés.</w:t>
      </w:r>
    </w:p>
    <w:p w14:paraId="015C34D9" w14:textId="07A355EA" w:rsidR="00A97E60" w:rsidRDefault="00A97E60" w:rsidP="00A72180">
      <w:pPr>
        <w:spacing w:before="120"/>
      </w:pPr>
      <w:r>
        <w:t>Les modalités de formation du personnel (dont n référents) seront précisées.</w:t>
      </w:r>
    </w:p>
    <w:p w14:paraId="75A99625" w14:textId="77777777" w:rsidR="00FA71A0" w:rsidRDefault="00FA71A0" w:rsidP="00FA71A0">
      <w:pPr>
        <w:rPr>
          <w:rFonts w:cstheme="minorHAnsi"/>
          <w:b/>
        </w:rPr>
      </w:pPr>
    </w:p>
    <w:p w14:paraId="2872F289" w14:textId="309FA821" w:rsidR="00FA71A0" w:rsidRDefault="00FA71A0" w:rsidP="00FA71A0">
      <w:pPr>
        <w:rPr>
          <w:rFonts w:cstheme="minorHAnsi"/>
        </w:rPr>
      </w:pPr>
      <w:r>
        <w:rPr>
          <w:rFonts w:cstheme="minorHAnsi"/>
          <w:b/>
        </w:rPr>
        <w:t>(Ces éléments peuvent être rendu dans un document à part si besoin)</w:t>
      </w:r>
    </w:p>
    <w:p w14:paraId="7801C31D" w14:textId="77777777" w:rsidR="00FA71A0" w:rsidRPr="00FA71A0" w:rsidRDefault="00FA71A0" w:rsidP="00FA71A0">
      <w:pPr>
        <w:rPr>
          <w:rFonts w:cstheme="minorHAnsi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FA71A0" w14:paraId="330D9875" w14:textId="77777777" w:rsidTr="00FA71A0">
        <w:tc>
          <w:tcPr>
            <w:tcW w:w="9634" w:type="dxa"/>
          </w:tcPr>
          <w:p w14:paraId="5CCF2CD0" w14:textId="77777777" w:rsidR="00FA71A0" w:rsidRDefault="00FA71A0" w:rsidP="009B1CB4">
            <w:pPr>
              <w:spacing w:before="120"/>
            </w:pPr>
          </w:p>
          <w:p w14:paraId="12F70680" w14:textId="77777777" w:rsidR="00FA71A0" w:rsidRDefault="00FA71A0" w:rsidP="009B1CB4">
            <w:pPr>
              <w:spacing w:before="120"/>
            </w:pPr>
          </w:p>
          <w:p w14:paraId="29C1154C" w14:textId="77777777" w:rsidR="00FA71A0" w:rsidRDefault="00FA71A0" w:rsidP="009B1CB4">
            <w:pPr>
              <w:spacing w:before="120"/>
            </w:pPr>
          </w:p>
          <w:p w14:paraId="6F5AD24F" w14:textId="77777777" w:rsidR="00FA71A0" w:rsidRDefault="00FA71A0" w:rsidP="009B1CB4">
            <w:pPr>
              <w:spacing w:before="120"/>
            </w:pPr>
          </w:p>
          <w:p w14:paraId="0A430867" w14:textId="77777777" w:rsidR="00FA71A0" w:rsidRDefault="00FA71A0" w:rsidP="009B1CB4">
            <w:pPr>
              <w:spacing w:before="120"/>
            </w:pPr>
          </w:p>
          <w:p w14:paraId="48A619E1" w14:textId="77777777" w:rsidR="00FA71A0" w:rsidRDefault="00FA71A0" w:rsidP="009B1CB4">
            <w:pPr>
              <w:spacing w:before="120"/>
            </w:pPr>
          </w:p>
          <w:p w14:paraId="273BAB00" w14:textId="77777777" w:rsidR="00FA71A0" w:rsidRDefault="00FA71A0" w:rsidP="009B1CB4">
            <w:pPr>
              <w:spacing w:before="120"/>
            </w:pPr>
          </w:p>
          <w:p w14:paraId="371BE5CF" w14:textId="77777777" w:rsidR="00FA71A0" w:rsidRDefault="00FA71A0" w:rsidP="009B1CB4">
            <w:pPr>
              <w:spacing w:before="120"/>
            </w:pPr>
          </w:p>
          <w:p w14:paraId="444C02A0" w14:textId="77777777" w:rsidR="00FA71A0" w:rsidRDefault="00FA71A0" w:rsidP="009B1CB4">
            <w:pPr>
              <w:spacing w:before="120"/>
            </w:pPr>
          </w:p>
        </w:tc>
      </w:tr>
    </w:tbl>
    <w:p w14:paraId="6E4A8B64" w14:textId="77777777" w:rsidR="00825BA1" w:rsidRDefault="00825BA1">
      <w:pPr>
        <w:spacing w:after="160" w:line="259" w:lineRule="auto"/>
        <w:jc w:val="left"/>
        <w:rPr>
          <w:rFonts w:cs="Calibri"/>
          <w:b/>
          <w:bCs/>
          <w:sz w:val="24"/>
        </w:rPr>
      </w:pPr>
    </w:p>
    <w:p w14:paraId="6D7E9454" w14:textId="77777777" w:rsidR="00825BA1" w:rsidRDefault="00825BA1">
      <w:pPr>
        <w:spacing w:after="160" w:line="259" w:lineRule="auto"/>
        <w:jc w:val="left"/>
        <w:rPr>
          <w:rFonts w:cs="Calibri"/>
          <w:b/>
          <w:bCs/>
          <w:sz w:val="24"/>
        </w:rPr>
      </w:pPr>
    </w:p>
    <w:p w14:paraId="2C0D54F3" w14:textId="4FAD883A" w:rsidR="00825BA1" w:rsidRPr="00A44795" w:rsidRDefault="00825BA1" w:rsidP="00825BA1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  <w:u w:val="single"/>
        </w:rPr>
        <w:t>Partenariat de recherche</w:t>
      </w:r>
      <w:r w:rsidRPr="00A44795">
        <w:rPr>
          <w:rFonts w:cs="Calibri"/>
          <w:b/>
          <w:bCs/>
          <w:sz w:val="24"/>
          <w:u w:val="single"/>
        </w:rPr>
        <w:t> :</w:t>
      </w:r>
    </w:p>
    <w:p w14:paraId="1680C0A0" w14:textId="77777777" w:rsidR="00825BA1" w:rsidRDefault="00825BA1" w:rsidP="00825BA1">
      <w:pPr>
        <w:rPr>
          <w:rFonts w:cstheme="minorHAnsi"/>
          <w:color w:val="000000" w:themeColor="text1"/>
        </w:rPr>
      </w:pPr>
    </w:p>
    <w:p w14:paraId="646A8580" w14:textId="28DF54DC" w:rsidR="00825BA1" w:rsidRDefault="00825BA1" w:rsidP="00825BA1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Le candidat précise son offre </w:t>
      </w:r>
      <w:r w:rsidR="00775BB1">
        <w:rPr>
          <w:rFonts w:cstheme="minorHAnsi"/>
          <w:color w:val="000000" w:themeColor="text1"/>
        </w:rPr>
        <w:t>concernant le</w:t>
      </w:r>
      <w:r>
        <w:rPr>
          <w:rFonts w:cstheme="minorHAnsi"/>
          <w:color w:val="000000" w:themeColor="text1"/>
        </w:rPr>
        <w:t xml:space="preserve"> partenariat de recherche avec les équipes d’Immunologie biologique des Hospices Civils de Lyon.  </w:t>
      </w:r>
    </w:p>
    <w:p w14:paraId="51CC3C51" w14:textId="4A89B03F" w:rsidR="00775BB1" w:rsidRPr="00775BB1" w:rsidRDefault="003979FB" w:rsidP="00F70FA0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(Ces informations peuvent être fournit dans un document à part)</w:t>
      </w:r>
      <w:r w:rsidR="00775BB1">
        <w:rPr>
          <w:rFonts w:cstheme="minorHAnsi"/>
          <w:color w:val="000000" w:themeColor="text1"/>
        </w:rPr>
        <w:t xml:space="preserve"> incluant par exemple :</w:t>
      </w:r>
    </w:p>
    <w:p w14:paraId="2332C3B9" w14:textId="77777777" w:rsidR="00775BB1" w:rsidRPr="00775BB1" w:rsidRDefault="00775BB1" w:rsidP="00B0253D">
      <w:pPr>
        <w:ind w:firstLine="708"/>
        <w:rPr>
          <w:rFonts w:cstheme="minorHAnsi"/>
          <w:color w:val="000000" w:themeColor="text1"/>
        </w:rPr>
      </w:pPr>
      <w:r w:rsidRPr="00775BB1">
        <w:rPr>
          <w:rFonts w:cstheme="minorHAnsi"/>
          <w:color w:val="000000" w:themeColor="text1"/>
        </w:rPr>
        <w:t>- évaluation de réactifs</w:t>
      </w:r>
    </w:p>
    <w:p w14:paraId="6D8B50F1" w14:textId="45BEE240" w:rsidR="00775BB1" w:rsidRPr="00775BB1" w:rsidRDefault="00775BB1" w:rsidP="00B0253D">
      <w:pPr>
        <w:ind w:firstLine="708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- plateforme type bé</w:t>
      </w:r>
      <w:r w:rsidRPr="00775BB1">
        <w:rPr>
          <w:rFonts w:cstheme="minorHAnsi"/>
          <w:color w:val="000000" w:themeColor="text1"/>
        </w:rPr>
        <w:t>ta-test</w:t>
      </w:r>
      <w:r>
        <w:rPr>
          <w:rFonts w:cstheme="minorHAnsi"/>
          <w:color w:val="000000" w:themeColor="text1"/>
        </w:rPr>
        <w:t>ing</w:t>
      </w:r>
    </w:p>
    <w:p w14:paraId="14AD2B5C" w14:textId="77777777" w:rsidR="00775BB1" w:rsidRPr="00775BB1" w:rsidRDefault="00775BB1" w:rsidP="00B0253D">
      <w:pPr>
        <w:ind w:firstLine="708"/>
        <w:rPr>
          <w:rFonts w:cstheme="minorHAnsi"/>
          <w:color w:val="000000" w:themeColor="text1"/>
        </w:rPr>
      </w:pPr>
      <w:r w:rsidRPr="00775BB1">
        <w:rPr>
          <w:rFonts w:cstheme="minorHAnsi"/>
          <w:color w:val="000000" w:themeColor="text1"/>
        </w:rPr>
        <w:t xml:space="preserve">- financement de congrès </w:t>
      </w:r>
    </w:p>
    <w:p w14:paraId="63C61F70" w14:textId="77777777" w:rsidR="00BE4FF6" w:rsidRDefault="00775BB1" w:rsidP="00B0253D">
      <w:pPr>
        <w:ind w:firstLine="708"/>
        <w:rPr>
          <w:rFonts w:cstheme="minorHAnsi"/>
          <w:color w:val="000000" w:themeColor="text1"/>
        </w:rPr>
      </w:pPr>
      <w:r w:rsidRPr="00775BB1">
        <w:rPr>
          <w:rFonts w:cstheme="minorHAnsi"/>
          <w:color w:val="000000" w:themeColor="text1"/>
        </w:rPr>
        <w:t>- aide au montage d’appel d’offre</w:t>
      </w:r>
    </w:p>
    <w:p w14:paraId="6590755C" w14:textId="7DB354B8" w:rsidR="00825BA1" w:rsidRDefault="00775BB1" w:rsidP="00B0253D">
      <w:pPr>
        <w:ind w:firstLine="708"/>
        <w:rPr>
          <w:rFonts w:cstheme="minorHAnsi"/>
          <w:color w:val="000000" w:themeColor="text1"/>
        </w:rPr>
      </w:pPr>
      <w:r w:rsidRPr="00775BB1">
        <w:rPr>
          <w:rFonts w:cstheme="minorHAnsi"/>
          <w:color w:val="000000" w:themeColor="text1"/>
        </w:rPr>
        <w:t>- soutien financier</w:t>
      </w:r>
    </w:p>
    <w:p w14:paraId="23670BE2" w14:textId="77777777" w:rsidR="00BE4FF6" w:rsidRDefault="00BE4FF6" w:rsidP="00B0253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5BA1" w14:paraId="44A7A3A2" w14:textId="77777777" w:rsidTr="002F3320">
        <w:tc>
          <w:tcPr>
            <w:tcW w:w="9062" w:type="dxa"/>
          </w:tcPr>
          <w:p w14:paraId="71F33FE8" w14:textId="77777777" w:rsidR="00825BA1" w:rsidRDefault="00825BA1" w:rsidP="002F3320">
            <w:pPr>
              <w:spacing w:before="120"/>
            </w:pPr>
          </w:p>
          <w:p w14:paraId="1BE7A04B" w14:textId="77777777" w:rsidR="00825BA1" w:rsidRDefault="00825BA1" w:rsidP="002F3320">
            <w:pPr>
              <w:spacing w:before="120"/>
            </w:pPr>
          </w:p>
          <w:p w14:paraId="1FFD1E36" w14:textId="77777777" w:rsidR="00825BA1" w:rsidRDefault="00825BA1" w:rsidP="002F3320">
            <w:pPr>
              <w:spacing w:before="120"/>
            </w:pPr>
          </w:p>
          <w:p w14:paraId="4C7CC39A" w14:textId="77777777" w:rsidR="00825BA1" w:rsidRDefault="00825BA1" w:rsidP="002F3320">
            <w:pPr>
              <w:spacing w:before="120"/>
            </w:pPr>
          </w:p>
          <w:p w14:paraId="6968B772" w14:textId="77777777" w:rsidR="00825BA1" w:rsidRDefault="00825BA1" w:rsidP="002F3320">
            <w:pPr>
              <w:spacing w:before="120"/>
            </w:pPr>
          </w:p>
          <w:p w14:paraId="71527BB5" w14:textId="77777777" w:rsidR="00825BA1" w:rsidRDefault="00825BA1" w:rsidP="002F3320">
            <w:pPr>
              <w:spacing w:before="120"/>
            </w:pPr>
          </w:p>
          <w:p w14:paraId="0460D328" w14:textId="77777777" w:rsidR="00825BA1" w:rsidRDefault="00825BA1" w:rsidP="002F3320">
            <w:pPr>
              <w:spacing w:before="120"/>
            </w:pPr>
          </w:p>
          <w:p w14:paraId="11915783" w14:textId="77777777" w:rsidR="00825BA1" w:rsidRDefault="00825BA1" w:rsidP="002F3320">
            <w:pPr>
              <w:spacing w:before="120"/>
            </w:pPr>
          </w:p>
          <w:p w14:paraId="0FD6F5FD" w14:textId="77777777" w:rsidR="00825BA1" w:rsidRDefault="00825BA1" w:rsidP="002F3320">
            <w:pPr>
              <w:spacing w:before="120"/>
            </w:pPr>
          </w:p>
        </w:tc>
      </w:tr>
    </w:tbl>
    <w:p w14:paraId="188A22A6" w14:textId="3CD25E75" w:rsidR="00870793" w:rsidRDefault="00FA71A0">
      <w:pPr>
        <w:spacing w:after="160" w:line="259" w:lineRule="auto"/>
        <w:jc w:val="left"/>
        <w:rPr>
          <w:rFonts w:cs="Calibri"/>
          <w:b/>
          <w:bCs/>
          <w:sz w:val="24"/>
        </w:rPr>
      </w:pPr>
      <w:r>
        <w:rPr>
          <w:rFonts w:cs="Calibri"/>
          <w:b/>
          <w:bCs/>
          <w:sz w:val="24"/>
        </w:rPr>
        <w:br w:type="page"/>
      </w:r>
    </w:p>
    <w:p w14:paraId="6CBD0A1E" w14:textId="6D0CA105" w:rsidR="00A44795" w:rsidRPr="00A44795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</w:rPr>
        <w:t>Autre(s) élément(s) permettant de valoriser l’offre</w:t>
      </w:r>
      <w:r w:rsidRPr="00A44795">
        <w:rPr>
          <w:rFonts w:cs="Calibri"/>
          <w:b/>
          <w:bCs/>
          <w:sz w:val="24"/>
          <w:u w:val="single"/>
        </w:rPr>
        <w:t xml:space="preserve"> :</w:t>
      </w:r>
    </w:p>
    <w:p w14:paraId="45659075" w14:textId="77777777" w:rsidR="00A44795" w:rsidRDefault="00A44795" w:rsidP="00A44795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4795" w14:paraId="05044D07" w14:textId="77777777" w:rsidTr="005B4D3E">
        <w:tc>
          <w:tcPr>
            <w:tcW w:w="9062" w:type="dxa"/>
          </w:tcPr>
          <w:p w14:paraId="6463A993" w14:textId="77777777" w:rsidR="00A44795" w:rsidRDefault="00A44795" w:rsidP="005B4D3E">
            <w:pPr>
              <w:spacing w:before="120"/>
            </w:pPr>
          </w:p>
          <w:p w14:paraId="5E6D5AC5" w14:textId="77777777" w:rsidR="00A44795" w:rsidRDefault="00A44795" w:rsidP="005B4D3E">
            <w:pPr>
              <w:spacing w:before="120"/>
            </w:pPr>
          </w:p>
          <w:p w14:paraId="244026C3" w14:textId="77777777" w:rsidR="00A44795" w:rsidRDefault="00A44795" w:rsidP="005B4D3E">
            <w:pPr>
              <w:spacing w:before="120"/>
            </w:pPr>
          </w:p>
          <w:p w14:paraId="4C1BCF98" w14:textId="77777777" w:rsidR="00A44795" w:rsidRDefault="00A44795" w:rsidP="005B4D3E">
            <w:pPr>
              <w:spacing w:before="120"/>
            </w:pPr>
          </w:p>
          <w:p w14:paraId="61F7E25E" w14:textId="77777777" w:rsidR="00A44795" w:rsidRDefault="00A44795" w:rsidP="005B4D3E">
            <w:pPr>
              <w:spacing w:before="120"/>
            </w:pPr>
          </w:p>
          <w:p w14:paraId="7DB41C6B" w14:textId="77777777" w:rsidR="00A44795" w:rsidRDefault="00A44795" w:rsidP="005B4D3E">
            <w:pPr>
              <w:spacing w:before="120"/>
            </w:pPr>
          </w:p>
          <w:p w14:paraId="01B320C6" w14:textId="77777777" w:rsidR="00A44795" w:rsidRDefault="00A44795" w:rsidP="005B4D3E">
            <w:pPr>
              <w:spacing w:before="120"/>
            </w:pPr>
          </w:p>
          <w:p w14:paraId="4FFCEE9F" w14:textId="77777777" w:rsidR="00A44795" w:rsidRDefault="00A44795" w:rsidP="005B4D3E">
            <w:pPr>
              <w:spacing w:before="120"/>
            </w:pPr>
          </w:p>
          <w:p w14:paraId="355B276D" w14:textId="77777777" w:rsidR="00A44795" w:rsidRDefault="00A44795" w:rsidP="005B4D3E">
            <w:pPr>
              <w:spacing w:before="120"/>
            </w:pPr>
          </w:p>
        </w:tc>
      </w:tr>
    </w:tbl>
    <w:p w14:paraId="4FF930A9" w14:textId="77777777" w:rsidR="00A44795" w:rsidRPr="002532DB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szCs w:val="20"/>
        </w:rPr>
      </w:pPr>
    </w:p>
    <w:p w14:paraId="6B93D23F" w14:textId="7E9E8A94" w:rsidR="00A44795" w:rsidRDefault="00A44795" w:rsidP="00A44795">
      <w:pPr>
        <w:pStyle w:val="Paragraphedeliste"/>
        <w:ind w:left="1068"/>
      </w:pPr>
    </w:p>
    <w:sectPr w:rsidR="00A44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C5AE2"/>
    <w:multiLevelType w:val="hybridMultilevel"/>
    <w:tmpl w:val="08C861C4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23361993"/>
    <w:multiLevelType w:val="hybridMultilevel"/>
    <w:tmpl w:val="EA80B20C"/>
    <w:lvl w:ilvl="0" w:tplc="89D42ED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B4C72F4"/>
    <w:multiLevelType w:val="hybridMultilevel"/>
    <w:tmpl w:val="46C2D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BA479F2">
      <w:start w:val="2"/>
      <w:numFmt w:val="bullet"/>
      <w:lvlText w:val="-"/>
      <w:lvlJc w:val="left"/>
      <w:pPr>
        <w:ind w:left="2160" w:hanging="360"/>
      </w:pPr>
      <w:rPr>
        <w:rFonts w:ascii="Calibri" w:eastAsia="MS Mincho" w:hAnsi="Calibri" w:cs="Calibri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108AF"/>
    <w:multiLevelType w:val="hybridMultilevel"/>
    <w:tmpl w:val="E4726E80"/>
    <w:lvl w:ilvl="0" w:tplc="7E9A4E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606EC5A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sz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6739B1"/>
    <w:multiLevelType w:val="hybridMultilevel"/>
    <w:tmpl w:val="F728713A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73428729">
    <w:abstractNumId w:val="1"/>
  </w:num>
  <w:num w:numId="2" w16cid:durableId="696126973">
    <w:abstractNumId w:val="4"/>
  </w:num>
  <w:num w:numId="3" w16cid:durableId="483739067">
    <w:abstractNumId w:val="0"/>
  </w:num>
  <w:num w:numId="4" w16cid:durableId="581645682">
    <w:abstractNumId w:val="3"/>
  </w:num>
  <w:num w:numId="5" w16cid:durableId="1066684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9CA"/>
    <w:rsid w:val="00027E69"/>
    <w:rsid w:val="000516E1"/>
    <w:rsid w:val="000F0DE3"/>
    <w:rsid w:val="00135A1A"/>
    <w:rsid w:val="00154CAE"/>
    <w:rsid w:val="001F2DC6"/>
    <w:rsid w:val="002250E8"/>
    <w:rsid w:val="002B2541"/>
    <w:rsid w:val="00377395"/>
    <w:rsid w:val="003979FB"/>
    <w:rsid w:val="003C7398"/>
    <w:rsid w:val="004155A7"/>
    <w:rsid w:val="00440D78"/>
    <w:rsid w:val="00592199"/>
    <w:rsid w:val="006253D7"/>
    <w:rsid w:val="00680187"/>
    <w:rsid w:val="006E0457"/>
    <w:rsid w:val="00775BB1"/>
    <w:rsid w:val="007B4A03"/>
    <w:rsid w:val="007C19AB"/>
    <w:rsid w:val="00801D21"/>
    <w:rsid w:val="008024E5"/>
    <w:rsid w:val="008168AF"/>
    <w:rsid w:val="00825BA1"/>
    <w:rsid w:val="0086784C"/>
    <w:rsid w:val="00870793"/>
    <w:rsid w:val="00890844"/>
    <w:rsid w:val="00946779"/>
    <w:rsid w:val="00A103C0"/>
    <w:rsid w:val="00A44795"/>
    <w:rsid w:val="00A564E7"/>
    <w:rsid w:val="00A72180"/>
    <w:rsid w:val="00A97E60"/>
    <w:rsid w:val="00B0253D"/>
    <w:rsid w:val="00B02EBD"/>
    <w:rsid w:val="00B12A74"/>
    <w:rsid w:val="00B379CA"/>
    <w:rsid w:val="00B7459C"/>
    <w:rsid w:val="00BE4FF6"/>
    <w:rsid w:val="00C13E03"/>
    <w:rsid w:val="00D31F9B"/>
    <w:rsid w:val="00D55C4B"/>
    <w:rsid w:val="00DE2ACA"/>
    <w:rsid w:val="00E51F9E"/>
    <w:rsid w:val="00E61835"/>
    <w:rsid w:val="00EA49A7"/>
    <w:rsid w:val="00F03271"/>
    <w:rsid w:val="00F70FA0"/>
    <w:rsid w:val="00FA04AC"/>
    <w:rsid w:val="00FA71A0"/>
    <w:rsid w:val="00FD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5FBC"/>
  <w15:chartTrackingRefBased/>
  <w15:docId w15:val="{1E87F659-9B34-4875-A249-54F7B794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RE 2"/>
    <w:rsid w:val="00FD66C6"/>
    <w:pPr>
      <w:spacing w:after="0" w:line="240" w:lineRule="auto"/>
      <w:jc w:val="both"/>
    </w:pPr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uce 2 CCTP,§norme,Resume Title,Paragraphe de liste N1,lp1,Bullet Niv 1,Bullet List,FooterText,numbered,List Paragraph1,Bulletr List Paragraph,列出段落,列出段落1,Puce0_Exakis,List Paragraph11,Liste à puce - Normal,Texte-Nelite,normal"/>
    <w:basedOn w:val="Normal"/>
    <w:link w:val="ParagraphedelisteCar"/>
    <w:uiPriority w:val="34"/>
    <w:qFormat/>
    <w:rsid w:val="00A44795"/>
    <w:pPr>
      <w:ind w:left="720"/>
      <w:contextualSpacing/>
    </w:pPr>
  </w:style>
  <w:style w:type="character" w:customStyle="1" w:styleId="ParagraphedelisteCar">
    <w:name w:val="Paragraphe de liste Car"/>
    <w:aliases w:val="Puce 2 CCTP Car,§norme Car,Resume Title Car,Paragraphe de liste N1 Car,lp1 Car,Bullet Niv 1 Car,Bullet List Car,FooterText Car,numbered Car,List Paragraph1 Car,Bulletr List Paragraph Car,列出段落 Car,列出段落1 Car,Puce0_Exakis Car"/>
    <w:link w:val="Paragraphedeliste"/>
    <w:uiPriority w:val="34"/>
    <w:locked/>
    <w:rsid w:val="00A44795"/>
    <w:rPr>
      <w:rFonts w:ascii="Calibri" w:eastAsia="Times New Roman" w:hAnsi="Calibri" w:cs="Times New Roman"/>
      <w:lang w:eastAsia="fr-FR"/>
    </w:rPr>
  </w:style>
  <w:style w:type="table" w:styleId="Grilledutableau">
    <w:name w:val="Table Grid"/>
    <w:basedOn w:val="TableauNormal"/>
    <w:uiPriority w:val="39"/>
    <w:rsid w:val="00A4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707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07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0793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07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0793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79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793"/>
    <w:rPr>
      <w:rFonts w:ascii="Segoe UI" w:eastAsia="Times New Roman" w:hAnsi="Segoe UI" w:cs="Segoe UI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592199"/>
    <w:pPr>
      <w:spacing w:after="0" w:line="240" w:lineRule="auto"/>
    </w:pPr>
    <w:rPr>
      <w:rFonts w:ascii="Calibri" w:eastAsia="Times New Roman" w:hAnsi="Calibri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7A30B-C508-4EED-8CDD-20B7313E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1033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BLAES, Alexandra</dc:creator>
  <cp:keywords/>
  <dc:description/>
  <cp:lastModifiedBy>BUIS, Corinne</cp:lastModifiedBy>
  <cp:revision>3</cp:revision>
  <dcterms:created xsi:type="dcterms:W3CDTF">2026-01-20T11:04:00Z</dcterms:created>
  <dcterms:modified xsi:type="dcterms:W3CDTF">2026-01-26T13:25:00Z</dcterms:modified>
</cp:coreProperties>
</file>